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马克思主义学院试卷命题质量标准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b/>
          <w:bCs/>
          <w:sz w:val="32"/>
          <w:szCs w:val="32"/>
          <w:lang w:val="en-US" w:eastAsia="zh-CN"/>
        </w:rPr>
        <w:t>试卷命题格式要求</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试卷格式要求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1.试卷格式要求1</w:t>
      </w:r>
    </w:p>
    <w:p>
      <w:pPr>
        <w:numPr>
          <w:ilvl w:val="0"/>
          <w:numId w:val="0"/>
        </w:numPr>
        <w:jc w:val="left"/>
        <w:rPr>
          <w:rFonts w:ascii="宋体" w:hAnsi="宋体" w:eastAsia="宋体" w:cs="宋体"/>
          <w:sz w:val="24"/>
          <w:szCs w:val="24"/>
        </w:rPr>
      </w:pPr>
      <w:r>
        <w:rPr>
          <w:rFonts w:ascii="宋体" w:hAnsi="宋体" w:eastAsia="宋体" w:cs="宋体"/>
          <w:sz w:val="24"/>
          <w:szCs w:val="24"/>
        </w:rPr>
        <w:drawing>
          <wp:inline distT="0" distB="0" distL="114300" distR="114300">
            <wp:extent cx="5410835" cy="3763010"/>
            <wp:effectExtent l="0" t="0" r="14605" b="12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410835" cy="3763010"/>
                    </a:xfrm>
                    <a:prstGeom prst="rect">
                      <a:avLst/>
                    </a:prstGeom>
                    <a:noFill/>
                    <a:ln w="9525">
                      <a:noFill/>
                    </a:ln>
                  </pic:spPr>
                </pic:pic>
              </a:graphicData>
            </a:graphic>
          </wp:inline>
        </w:drawing>
      </w:r>
    </w:p>
    <w:p>
      <w:pPr>
        <w:numPr>
          <w:ilvl w:val="0"/>
          <w:numId w:val="0"/>
        </w:numPr>
        <w:jc w:val="center"/>
        <w:rPr>
          <w:rFonts w:hint="default" w:ascii="宋体" w:hAnsi="宋体" w:eastAsia="宋体" w:cs="宋体"/>
          <w:b/>
          <w:bCs/>
          <w:sz w:val="24"/>
          <w:szCs w:val="24"/>
          <w:lang w:val="en-US" w:eastAsia="zh-CN"/>
        </w:rPr>
      </w:pPr>
      <w:r>
        <w:rPr>
          <w:rFonts w:hint="eastAsia" w:ascii="宋体" w:hAnsi="宋体" w:eastAsia="宋体" w:cs="宋体"/>
          <w:b/>
          <w:bCs/>
          <w:sz w:val="28"/>
          <w:szCs w:val="28"/>
          <w:lang w:val="en-US" w:eastAsia="zh-CN"/>
        </w:rPr>
        <w:t>图一</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试卷编号需要命题教师根据学院统一发布的试卷编号一栏表对应填写，不要填写错误。</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,2)</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学年信息由命题教师用阿拉伯数字填写，学年信息要与当年保持一致。</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,3)</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学期数字使用汉语数字填写，只能填写“一”或“二”。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,4)</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课程名称由命题教师根据命题课程填写。</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,5)</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课程类型统一填写通识教育课（必修）。</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,6)</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考试方式根据课程教学大纲中规定考试方式填写。</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,7)</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考试时间统一填写100分钟。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,8)</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年级专业统一填写20**级所有本科/专升本/专科专业，20**、20**级本科重修。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微软雅黑" w:hAnsi="微软雅黑" w:eastAsia="微软雅黑" w:cs="微软雅黑"/>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,9)</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试卷类型由命题教师填写。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微软雅黑" w:hAnsi="微软雅黑" w:eastAsia="微软雅黑" w:cs="微软雅黑"/>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,10)</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大题数由命题教师根据试卷大题数用汉字数字填写。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,11)</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小题数由命题教师根据试卷小题数用阿拉伯数字填写。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,12)</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层次由命题教师根据试卷考试对象填写。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微软雅黑" w:hAnsi="微软雅黑" w:eastAsia="微软雅黑" w:cs="微软雅黑"/>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,13)</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分值由命题教师根据试卷大题分值填写，不能漏填和多填。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微软雅黑" w:hAnsi="微软雅黑" w:eastAsia="微软雅黑" w:cs="微软雅黑"/>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,14)</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总分处统一填写100。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,15)</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题型由命题教师根据不同课程考试题型进行填写，如图一所示。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,16)</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如果试卷有单选题、判断题，必须插入图一所示表格，表格中的数字要与试题中的小题序号保持一致，不能多填也不能漏填数字。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,17)</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小题序号统一使用阿拉伯数字，如图一所示1.、2.、……，每小题表述完后要打“。”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,18)</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选择题的选项用大写字母“A.B.C.D.”设置，选项内容不能重复。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,19)</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每页最后一题上下排版尽量不要超过左侧装订线最下端。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,20)</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如果试卷命题同时有选择题和判断题，判断题表格中的序号要接上一题的序号往后排。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,21)</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第二大题中的小题序号要接第一大题的小题序号往后排，第三大题的小题序号要接第二大题的小题序号往后排，以此类推。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position w:val="0"/>
          <w:sz w:val="24"/>
          <w:szCs w:val="24"/>
          <w:lang w:val="en-US" w:eastAsia="zh-CN"/>
        </w:rPr>
        <w:instrText xml:space="preserve">,22)</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判断题表述完后末尾要打“。”，并在其后加上“（）”。</w:t>
      </w:r>
    </w:p>
    <w:p>
      <w:pPr>
        <w:widowControl w:val="0"/>
        <w:numPr>
          <w:numId w:val="0"/>
        </w:numPr>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2.试卷格式要求2</w:t>
      </w:r>
    </w:p>
    <w:p>
      <w:pPr>
        <w:widowControl w:val="0"/>
        <w:numPr>
          <w:ilvl w:val="0"/>
          <w:numId w:val="0"/>
        </w:numPr>
        <w:jc w:val="left"/>
        <w:rPr>
          <w:rFonts w:hint="eastAsia" w:ascii="宋体" w:hAnsi="宋体" w:eastAsia="宋体" w:cs="宋体"/>
          <w:b/>
          <w:bCs/>
          <w:sz w:val="28"/>
          <w:szCs w:val="28"/>
          <w:lang w:val="en-US" w:eastAsia="zh-CN"/>
        </w:rPr>
      </w:pPr>
      <w:r>
        <w:rPr>
          <w:rFonts w:ascii="宋体" w:hAnsi="宋体" w:eastAsia="宋体" w:cs="宋体"/>
          <w:sz w:val="24"/>
          <w:szCs w:val="24"/>
        </w:rPr>
        <w:drawing>
          <wp:inline distT="0" distB="0" distL="114300" distR="114300">
            <wp:extent cx="5568315" cy="3876675"/>
            <wp:effectExtent l="0" t="0" r="9525" b="952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5568315" cy="3876675"/>
                    </a:xfrm>
                    <a:prstGeom prst="rect">
                      <a:avLst/>
                    </a:prstGeom>
                    <a:noFill/>
                    <a:ln w="9525">
                      <a:noFill/>
                    </a:ln>
                  </pic:spPr>
                </pic:pic>
              </a:graphicData>
            </a:graphic>
          </wp:inline>
        </w:drawing>
      </w:r>
    </w:p>
    <w:p>
      <w:pPr>
        <w:widowControl w:val="0"/>
        <w:numPr>
          <w:ilvl w:val="0"/>
          <w:numId w:val="0"/>
        </w:numPr>
        <w:jc w:val="center"/>
        <w:rPr>
          <w:rFonts w:hint="default" w:ascii="仿宋" w:hAnsi="仿宋" w:eastAsia="仿宋" w:cs="仿宋"/>
          <w:sz w:val="24"/>
          <w:szCs w:val="24"/>
          <w:lang w:val="en-US" w:eastAsia="zh-CN"/>
        </w:rPr>
      </w:pPr>
      <w:r>
        <w:rPr>
          <w:rFonts w:hint="eastAsia" w:ascii="宋体" w:hAnsi="宋体" w:eastAsia="宋体" w:cs="宋体"/>
          <w:b/>
          <w:bCs/>
          <w:sz w:val="28"/>
          <w:szCs w:val="28"/>
          <w:lang w:val="en-US" w:eastAsia="zh-CN"/>
        </w:rPr>
        <w:t>图二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大题下面只有一道小题时，题目后（）内只用填写“*分”。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,2)</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sz w:val="32"/>
          <w:szCs w:val="32"/>
          <w:lang w:val="en-US" w:eastAsia="zh-CN"/>
        </w:rPr>
        <w:t>大题下面如果有多道小题时，题目后（）内要要填写“每小题*分，共*分”。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sz w:val="32"/>
          <w:szCs w:val="32"/>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,3)</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sz w:val="32"/>
          <w:szCs w:val="32"/>
          <w:lang w:val="en-US" w:eastAsia="zh-CN"/>
        </w:rPr>
        <w:t>主观题每一问后面要标明此问的分数，如“（*分）”。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sz w:val="32"/>
          <w:szCs w:val="32"/>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,4)</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sz w:val="32"/>
          <w:szCs w:val="32"/>
          <w:lang w:val="en-US" w:eastAsia="zh-CN"/>
        </w:rPr>
        <w:t>一个大题里若有多个小题，小题序号排版要左对齐。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sz w:val="32"/>
          <w:szCs w:val="32"/>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,5)</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sz w:val="32"/>
          <w:szCs w:val="32"/>
          <w:lang w:val="en-US" w:eastAsia="zh-CN"/>
        </w:rPr>
        <w:t>一个材料题内有多个材料时，要标明“【材料一】、【材料二】……”。</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,6)</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每则材料要标明材料出处。</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,7)</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材料题如有多个问题，问题需要标明序号“（1）、（2）……”，同时序号要左对齐，每问后面标明分数，如“（*分）”。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备注：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1.各题型分数设置要符合学校命题要求：单选题每小题分值设置为1-2分；多选题每小题分值设置为2-3分；填空题、判断题每小题分值设置为1分；名词解释每小题分值设置为2-3分；简答题每小题分值设置为4-8分。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2.如果课程考核方式为闭卷考试，试卷题型5大题，分别为单选题、判断题、简答题、论述题和材料分析题；如果课程考试方式为开卷考试，试卷题型4大题，分别为单选题、辨析题、论述题和材料分析题。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（二）命题计划表格式要求</w:t>
      </w:r>
    </w:p>
    <w:p>
      <w:pPr>
        <w:numPr>
          <w:ilvl w:val="0"/>
          <w:numId w:val="0"/>
        </w:numPr>
        <w:jc w:val="left"/>
        <w:rPr>
          <w:rFonts w:ascii="宋体" w:hAnsi="宋体" w:eastAsia="宋体" w:cs="宋体"/>
          <w:sz w:val="24"/>
          <w:szCs w:val="24"/>
        </w:rPr>
      </w:pPr>
      <w:r>
        <w:rPr>
          <w:rFonts w:ascii="宋体" w:hAnsi="宋体" w:eastAsia="宋体" w:cs="宋体"/>
          <w:sz w:val="24"/>
          <w:szCs w:val="24"/>
        </w:rPr>
        <w:drawing>
          <wp:inline distT="0" distB="0" distL="114300" distR="114300">
            <wp:extent cx="5598160" cy="3244850"/>
            <wp:effectExtent l="0" t="0" r="2540" b="1270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5598160" cy="3244850"/>
                    </a:xfrm>
                    <a:prstGeom prst="rect">
                      <a:avLst/>
                    </a:prstGeom>
                    <a:noFill/>
                    <a:ln w="9525">
                      <a:noFill/>
                    </a:ln>
                  </pic:spPr>
                </pic:pic>
              </a:graphicData>
            </a:graphic>
          </wp:inline>
        </w:drawing>
      </w:r>
    </w:p>
    <w:p>
      <w:pPr>
        <w:numPr>
          <w:ilvl w:val="0"/>
          <w:numId w:val="0"/>
        </w:numPr>
        <w:jc w:val="center"/>
        <w:rPr>
          <w:rFonts w:hint="default" w:ascii="仿宋" w:hAnsi="仿宋" w:eastAsia="仿宋" w:cs="仿宋"/>
          <w:b/>
          <w:bCs/>
          <w:sz w:val="28"/>
          <w:szCs w:val="28"/>
          <w:lang w:val="en-US" w:eastAsia="zh-CN"/>
        </w:rPr>
      </w:pPr>
      <w:r>
        <w:rPr>
          <w:rFonts w:hint="eastAsia" w:ascii="宋体" w:hAnsi="宋体" w:eastAsia="宋体" w:cs="宋体"/>
          <w:b/>
          <w:bCs/>
          <w:sz w:val="28"/>
          <w:szCs w:val="28"/>
          <w:lang w:val="en-US" w:eastAsia="zh-CN"/>
        </w:rPr>
        <w:t>图三</w:t>
      </w:r>
    </w:p>
    <w:p>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计划表中的学年学期要与试卷保持一致。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,2)</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开课单位统一填写为马克思主义学院，要填写全称，不能填写简称。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,3)</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考试年级、专业统一填写为20**级所有本科/专升本/专科专业，20**、20**级本科重修。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,4)</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课程名称根据所考课程填写全称，不能填写简称。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,5)</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考试时间根据学校安排的考试时间填写。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,6)</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命题教师根据教研室安排的命题教师如实填写。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,7)</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命题日期根据命题时间如实填写。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,8)</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教考分离根据实际情况如实填写，“是”或“否”。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,9)</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系主任（课程负责人）处需要由课程负责人手写签字。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,10)</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题型填写要与试卷题型保持一致，不能错填或漏填。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,11)</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大题总分填写要与试卷大题分数保持一致，所有大题总计为100分，各项分数不能填错</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,12)</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每道大题的小题数填写要与试卷保持一致，小题总数也要与试卷保持一致。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,13)</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小题分数填写要与试卷设置的小题分数保持一致。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,14)</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此栏中，开卷考试试卷的综合应用题分值总计要超过70分，闭卷考试试卷的综合应用题分值总计为40分，各题分布的分数之和要与综合应用题总分相等。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,15)</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基础题目总计70分，各题分布的分数之和要与总计70分相等。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,16)</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一般难度题目总计20分，各题分布的分数之和要与总计20分相等。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,17)</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难度较大题目总计10分，各题分布的分数之和要与总计10分相等。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,18)</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基础题目、一般难度题目、难度较大题目分配是70：20：10。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sz w:val="24"/>
          <w:szCs w:val="24"/>
          <w:lang w:val="en-US" w:eastAsia="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,19)</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覆盖面中的章节要与教学大纲的章节保持一致，多余的章节请自行删除。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0"/>
          <w:sz w:val="32"/>
          <w:szCs w:val="32"/>
          <w:lang w:val="en-US" w:eastAsia="zh-CN" w:bidi="zh-CN"/>
        </w:rPr>
      </w:pP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w:instrText>
      </w:r>
      <w:r>
        <w:rPr>
          <w:rFonts w:hint="eastAsia" w:ascii="仿宋" w:hAnsi="仿宋" w:eastAsia="仿宋" w:cs="仿宋"/>
          <w:kern w:val="2"/>
          <w:position w:val="-4"/>
          <w:sz w:val="36"/>
          <w:szCs w:val="24"/>
          <w:lang w:val="en-US" w:eastAsia="zh-CN" w:bidi="ar-SA"/>
        </w:rPr>
        <w:instrText xml:space="preserve">○</w:instrText>
      </w:r>
      <w:r>
        <w:rPr>
          <w:rFonts w:hint="eastAsia" w:ascii="仿宋" w:hAnsi="仿宋" w:eastAsia="仿宋" w:cs="仿宋"/>
          <w:sz w:val="24"/>
          <w:szCs w:val="24"/>
          <w:lang w:val="en-US" w:eastAsia="zh-CN"/>
        </w:rPr>
        <w:instrText xml:space="preserve">,20)</w:instrText>
      </w:r>
      <w:r>
        <w:rPr>
          <w:rFonts w:hint="eastAsia" w:ascii="仿宋" w:hAnsi="仿宋" w:eastAsia="仿宋" w:cs="仿宋"/>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试卷中的知识点分布要覆盖到所有章节。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（三）参考答案格式要求</w:t>
      </w: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4829810" cy="4963795"/>
            <wp:effectExtent l="0" t="0" r="1270" b="4445"/>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7"/>
                    <a:stretch>
                      <a:fillRect/>
                    </a:stretch>
                  </pic:blipFill>
                  <pic:spPr>
                    <a:xfrm>
                      <a:off x="0" y="0"/>
                      <a:ext cx="4829810" cy="4963795"/>
                    </a:xfrm>
                    <a:prstGeom prst="rect">
                      <a:avLst/>
                    </a:prstGeom>
                    <a:noFill/>
                    <a:ln w="9525">
                      <a:noFill/>
                    </a:ln>
                  </pic:spPr>
                </pic:pic>
              </a:graphicData>
            </a:graphic>
          </wp:inline>
        </w:drawing>
      </w:r>
    </w:p>
    <w:p>
      <w:pPr>
        <w:numPr>
          <w:ilvl w:val="0"/>
          <w:numId w:val="0"/>
        </w:numPr>
        <w:ind w:left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图四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,1)</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试卷编号填要与试卷中的保持一致。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,2)</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学年学期填写要与试卷中的保持一致。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,3)</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课</w:t>
      </w:r>
      <w:r>
        <w:rPr>
          <w:rFonts w:hint="eastAsia" w:ascii="仿宋_GB2312" w:hAnsi="仿宋_GB2312" w:eastAsia="仿宋_GB2312" w:cs="仿宋_GB2312"/>
          <w:kern w:val="0"/>
          <w:sz w:val="32"/>
          <w:szCs w:val="32"/>
          <w:lang w:val="en-US" w:eastAsia="zh-CN" w:bidi="zh-CN"/>
        </w:rPr>
        <w:t>程名称填写要与试卷中的保持一致，必须填写全称。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,4)</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试卷卷型填写要与试卷中的保持一致。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,5)</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任课教师统一填写为**课所有教师，**课可以简写。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,6)</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专业统一填写为全校所有专业。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,7)</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年级统一填写为20**级，20**、20**级重修。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,8)</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层次统一填写为本科/专科。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,9)</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大题题目要与试卷保持一致。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,10)</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客观题评分标准要标明每小</w:t>
      </w:r>
      <w:r>
        <w:rPr>
          <w:rFonts w:hint="eastAsia" w:ascii="宋体" w:hAnsi="宋体" w:eastAsia="宋体" w:cs="宋体"/>
          <w:b w:val="0"/>
          <w:bCs w:val="0"/>
          <w:sz w:val="24"/>
          <w:szCs w:val="24"/>
          <w:lang w:val="en-US" w:eastAsia="zh-CN"/>
        </w:rPr>
        <w:t>题*分，共*小题**分。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仿宋_GB2312" w:hAnsi="仿宋_GB2312" w:eastAsia="仿宋_GB2312" w:cs="仿宋_GB2312"/>
          <w:kern w:val="0"/>
          <w:sz w:val="32"/>
          <w:szCs w:val="32"/>
          <w:lang w:val="en-US" w:eastAsia="zh-CN" w:bidi="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,11)</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大题、小题序号排版要左对齐。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,12)</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简答题、论述题、材料分析题答案设置时要分要点分，每个要点分分值不得超过5分</w:t>
      </w:r>
      <w:r>
        <w:rPr>
          <w:rFonts w:hint="eastAsia" w:ascii="宋体" w:hAnsi="宋体" w:eastAsia="宋体" w:cs="宋体"/>
          <w:b w:val="0"/>
          <w:bCs w:val="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EQ \o\ac(</w:instrText>
      </w:r>
      <w:r>
        <w:rPr>
          <w:rFonts w:hint="eastAsia" w:ascii="仿宋" w:hAnsi="仿宋" w:eastAsia="仿宋" w:cs="仿宋"/>
          <w:b w:val="0"/>
          <w:bCs w:val="0"/>
          <w:kern w:val="2"/>
          <w:position w:val="-4"/>
          <w:sz w:val="36"/>
          <w:szCs w:val="24"/>
          <w:lang w:val="en-US" w:eastAsia="zh-CN" w:bidi="ar-SA"/>
        </w:rPr>
        <w:instrText xml:space="preserve">○</w:instrText>
      </w:r>
      <w:r>
        <w:rPr>
          <w:rFonts w:hint="eastAsia" w:ascii="仿宋" w:hAnsi="仿宋" w:eastAsia="仿宋" w:cs="仿宋"/>
          <w:b w:val="0"/>
          <w:bCs w:val="0"/>
          <w:sz w:val="24"/>
          <w:szCs w:val="24"/>
          <w:lang w:val="en-US" w:eastAsia="zh-CN"/>
        </w:rPr>
        <w:instrText xml:space="preserve">,13)</w:instrText>
      </w:r>
      <w:r>
        <w:rPr>
          <w:rFonts w:hint="eastAsia" w:ascii="仿宋" w:hAnsi="仿宋" w:eastAsia="仿宋" w:cs="仿宋"/>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论述题、材料分析题答案设置要说明评分标准。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EQ \o\ac(</w:instrText>
      </w:r>
      <w:r>
        <w:rPr>
          <w:rFonts w:hint="eastAsia" w:ascii="宋体" w:hAnsi="宋体" w:eastAsia="宋体" w:cs="宋体"/>
          <w:b w:val="0"/>
          <w:bCs w:val="0"/>
          <w:kern w:val="2"/>
          <w:position w:val="-4"/>
          <w:sz w:val="36"/>
          <w:szCs w:val="24"/>
          <w:lang w:val="en-US" w:eastAsia="zh-CN" w:bidi="ar-SA"/>
        </w:rPr>
        <w:instrText xml:space="preserve">○</w:instrText>
      </w:r>
      <w:r>
        <w:rPr>
          <w:rFonts w:hint="eastAsia" w:ascii="宋体" w:hAnsi="宋体" w:eastAsia="宋体" w:cs="宋体"/>
          <w:b w:val="0"/>
          <w:bCs w:val="0"/>
          <w:sz w:val="24"/>
          <w:szCs w:val="24"/>
          <w:lang w:val="en-US" w:eastAsia="zh-CN"/>
        </w:rPr>
        <w:instrText xml:space="preserve">,14)</w:instrText>
      </w:r>
      <w:r>
        <w:rPr>
          <w:rFonts w:hint="eastAsia" w:ascii="宋体" w:hAnsi="宋体" w:eastAsia="宋体" w:cs="宋体"/>
          <w:b w:val="0"/>
          <w:bCs w:val="0"/>
          <w:sz w:val="24"/>
          <w:szCs w:val="24"/>
          <w:lang w:val="en-US" w:eastAsia="zh-CN"/>
        </w:rPr>
        <w:fldChar w:fldCharType="end"/>
      </w:r>
      <w:r>
        <w:rPr>
          <w:rFonts w:hint="eastAsia" w:ascii="仿宋_GB2312" w:hAnsi="仿宋_GB2312" w:eastAsia="仿宋_GB2312" w:cs="仿宋_GB2312"/>
          <w:kern w:val="0"/>
          <w:sz w:val="32"/>
          <w:szCs w:val="32"/>
          <w:lang w:val="en-US" w:eastAsia="zh-CN" w:bidi="zh-CN"/>
        </w:rPr>
        <w:t>开放题评分标准要明确答题的角度和所运用的原理知识。</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试卷字体段落排版要求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,1)</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sz w:val="32"/>
          <w:szCs w:val="32"/>
          <w:lang w:val="en-US" w:eastAsia="zh-CN"/>
        </w:rPr>
        <w:t>试卷字体统一使用宋体，五号字。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,2)</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sz w:val="32"/>
          <w:szCs w:val="32"/>
          <w:lang w:val="en-US" w:eastAsia="zh-CN"/>
        </w:rPr>
        <w:t>行间距统一设置为单倍行距。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,3)</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sz w:val="32"/>
          <w:szCs w:val="32"/>
          <w:lang w:val="en-US" w:eastAsia="zh-CN"/>
        </w:rPr>
        <w:t>卷面排版要求整齐美观。</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试题内容及重复率要求</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（一）试题内容要求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,1)</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试题内容要符合教学大纲中对知识、能力、技能的基本要求，能覆盖课程的基本内容，并体现本课程的重点内容和应用型人才培养要求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,2)</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命题教师应根据教学大纲要求确定考核的知识点、分数权重来组成试卷。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,3)</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试题内容及表述必须准确无误，不得有歧义或错别字。</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（二）重复率要求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,1)</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不论开卷或闭卷考试，A、B卷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题型、</w:t>
      </w:r>
      <w:r>
        <w:rPr>
          <w:rFonts w:hint="eastAsia" w:ascii="仿宋_GB2312" w:hAnsi="仿宋_GB2312" w:eastAsia="仿宋_GB2312" w:cs="仿宋_GB2312"/>
          <w:color w:val="000000" w:themeColor="text1"/>
          <w:sz w:val="32"/>
          <w:szCs w:val="32"/>
          <w14:textFill>
            <w14:solidFill>
              <w14:schemeClr w14:val="tx1"/>
            </w14:solidFill>
          </w14:textFill>
        </w:rPr>
        <w:t>题量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分数分布及试题难易度要保持</w:t>
      </w:r>
      <w:r>
        <w:rPr>
          <w:rFonts w:hint="eastAsia" w:ascii="仿宋_GB2312" w:hAnsi="仿宋_GB2312" w:eastAsia="仿宋_GB2312" w:cs="仿宋_GB2312"/>
          <w:color w:val="000000" w:themeColor="text1"/>
          <w:sz w:val="32"/>
          <w:szCs w:val="32"/>
          <w14:textFill>
            <w14:solidFill>
              <w14:schemeClr w14:val="tx1"/>
            </w14:solidFill>
          </w14:textFill>
        </w:rPr>
        <w:t>一致</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,2)</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A、B卷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题目</w:t>
      </w:r>
      <w:r>
        <w:rPr>
          <w:rFonts w:hint="eastAsia" w:ascii="仿宋_GB2312" w:hAnsi="仿宋_GB2312" w:eastAsia="仿宋_GB2312" w:cs="仿宋_GB2312"/>
          <w:color w:val="000000" w:themeColor="text1"/>
          <w:sz w:val="32"/>
          <w:szCs w:val="32"/>
          <w14:textFill>
            <w14:solidFill>
              <w14:schemeClr w14:val="tx1"/>
            </w14:solidFill>
          </w14:textFill>
        </w:rPr>
        <w:t>不得有重复题目（简单调换顺序和变换参数均视为重复题）。</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,3)</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同一张试卷中的题目不得有重复。</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试卷命题审核及上交要求</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147"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试卷命题审核要求</w:t>
      </w:r>
    </w:p>
    <w:p>
      <w:pPr>
        <w:keepNext w:val="0"/>
        <w:keepLines w:val="0"/>
        <w:pageBreakBefore w:val="0"/>
        <w:numPr>
          <w:ilvl w:val="0"/>
          <w:numId w:val="0"/>
        </w:numPr>
        <w:kinsoku/>
        <w:wordWrap/>
        <w:overflowPunct/>
        <w:topLinePunct w:val="0"/>
        <w:autoSpaceDE/>
        <w:autoSpaceDN/>
        <w:bidi w:val="0"/>
        <w:adjustRightInd/>
        <w:snapToGrid/>
        <w:spacing w:line="560" w:lineRule="exact"/>
        <w:ind w:left="15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,1)</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sz w:val="32"/>
          <w:szCs w:val="32"/>
          <w:lang w:val="en-US" w:eastAsia="zh-CN"/>
        </w:rPr>
        <w:t>各教研室及课程组要严格落实试卷命题四审制度：一审为命题教师自审；二审为教师互审；三审为教研室主任（课程组长）审核；四审为学院教学副院长审核。</w:t>
      </w:r>
      <w:r>
        <w:rPr>
          <w:rFonts w:hint="eastAsia" w:ascii="仿宋_GB2312" w:hAnsi="仿宋_GB2312" w:eastAsia="仿宋_GB2312" w:cs="仿宋_GB2312"/>
          <w:b w:val="0"/>
          <w:bCs w:val="0"/>
          <w:kern w:val="2"/>
          <w:sz w:val="32"/>
          <w:szCs w:val="32"/>
          <w:lang w:val="en-US" w:eastAsia="zh-CN" w:bidi="ar-SA"/>
        </w:rPr>
        <w:t>命题教师自审后，由系（教研室）主任指定审题人填写《武汉工商学院考试课程命题与试卷审查表》，审题人确保填写信息准确无误后连同试卷（A、B卷）、参考答案及评分标准逐级提交系（教研室）主任和学院（部）分管教学副院长（副主任）审核签字。审核过程中应对试题进行逐项检查，保证考核内容题型、题量、难易程度、考核形式、答题用时适当，试题的题号名称、表述、分值、标点、页码、页数等符合要求和准确无误。</w:t>
      </w: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,2)</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kern w:val="2"/>
          <w:sz w:val="32"/>
          <w:szCs w:val="32"/>
          <w:lang w:val="en-US" w:eastAsia="zh-CN" w:bidi="ar-SA"/>
        </w:rPr>
        <w:t>审核人应依据教学大纲和命题规范，有权要求命题教师对题型、题量、试题内容、难易程度、评分标准等进行调整或修改。</w:t>
      </w:r>
      <w:r>
        <w:rPr>
          <w:rFonts w:hint="eastAsia" w:ascii="仿宋_GB2312" w:hAnsi="仿宋_GB2312" w:eastAsia="仿宋_GB2312" w:cs="仿宋_GB2312"/>
          <w:b w:val="0"/>
          <w:bCs w:val="0"/>
          <w:sz w:val="32"/>
          <w:szCs w:val="32"/>
          <w:lang w:val="en-US" w:eastAsia="zh-CN"/>
        </w:rPr>
        <w:t>试卷命题审核过程中，发现试卷出现错误5处以上（依据《马克思主义学院试卷命题质量标准》），该试卷命题评定为不合格，命题教师必须立即整改直至试卷命题合格验收。试卷命题评定为不合格，学院则根据</w:t>
      </w:r>
      <w:r>
        <w:rPr>
          <w:rFonts w:hint="eastAsia" w:ascii="仿宋_GB2312" w:hAnsi="仿宋_GB2312" w:eastAsia="仿宋_GB2312" w:cs="仿宋_GB2312"/>
          <w:b w:val="0"/>
          <w:bCs w:val="0"/>
          <w:color w:val="000000" w:themeColor="text1"/>
          <w:sz w:val="32"/>
          <w:szCs w:val="32"/>
          <w:shd w:val="clear" w:color="FFFFFF" w:fill="D9D9D9"/>
          <w:lang w:val="en-US" w:eastAsia="zh-CN"/>
          <w14:textFill>
            <w14:solidFill>
              <w14:schemeClr w14:val="tx1"/>
            </w14:solidFill>
          </w14:textFill>
        </w:rPr>
        <w:t>《马克思主义学院奖惩激励制度》对</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命题教师予以处理。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47"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,3)</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sz w:val="32"/>
          <w:szCs w:val="32"/>
          <w:lang w:val="en-US" w:eastAsia="zh-CN"/>
        </w:rPr>
        <w:t>因命题教师疏忽导致试卷出现严重错误，对学校考试造成严重影响，并被学校通报或认定为教学事故的，学院则根据</w:t>
      </w:r>
      <w:r>
        <w:rPr>
          <w:rFonts w:hint="eastAsia" w:ascii="仿宋_GB2312" w:hAnsi="仿宋_GB2312" w:eastAsia="仿宋_GB2312" w:cs="仿宋_GB2312"/>
          <w:b w:val="0"/>
          <w:bCs w:val="0"/>
          <w:color w:val="auto"/>
          <w:sz w:val="32"/>
          <w:szCs w:val="32"/>
          <w:lang w:val="en-US" w:eastAsia="zh-CN"/>
        </w:rPr>
        <w:t>《马克思主义学院奖惩激励制度》</w:t>
      </w:r>
      <w:r>
        <w:rPr>
          <w:rFonts w:hint="eastAsia" w:ascii="仿宋_GB2312" w:hAnsi="仿宋_GB2312" w:eastAsia="仿宋_GB2312" w:cs="仿宋_GB2312"/>
          <w:b w:val="0"/>
          <w:bCs w:val="0"/>
          <w:sz w:val="32"/>
          <w:szCs w:val="32"/>
          <w:lang w:val="en-US" w:eastAsia="zh-CN"/>
        </w:rPr>
        <w:t>对命题教师予以处理。</w:t>
      </w:r>
    </w:p>
    <w:p>
      <w:pPr>
        <w:keepNext w:val="0"/>
        <w:keepLines w:val="0"/>
        <w:pageBreakBefore w:val="0"/>
        <w:numPr>
          <w:ilvl w:val="0"/>
          <w:numId w:val="4"/>
        </w:numPr>
        <w:kinsoku/>
        <w:wordWrap/>
        <w:overflowPunct/>
        <w:topLinePunct w:val="0"/>
        <w:autoSpaceDE/>
        <w:autoSpaceDN/>
        <w:bidi w:val="0"/>
        <w:adjustRightInd/>
        <w:snapToGrid/>
        <w:spacing w:line="560" w:lineRule="exact"/>
        <w:ind w:left="15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试卷命题上交要求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47" w:leftChars="0"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命题教师必须严格按照学院要求按时上交试卷，对未按规定时间上交试卷，或因延误上交试卷而影响到学生考试工作的教师，学院则根据</w:t>
      </w:r>
      <w:r>
        <w:rPr>
          <w:rFonts w:hint="eastAsia" w:ascii="仿宋_GB2312" w:hAnsi="仿宋_GB2312" w:eastAsia="仿宋_GB2312" w:cs="仿宋_GB2312"/>
          <w:b w:val="0"/>
          <w:bCs w:val="0"/>
          <w:color w:val="auto"/>
          <w:sz w:val="32"/>
          <w:szCs w:val="32"/>
          <w:lang w:val="en-US" w:eastAsia="zh-CN"/>
        </w:rPr>
        <w:t>《马克思主义学院奖惩激励制度》对教师</w:t>
      </w:r>
      <w:r>
        <w:rPr>
          <w:rFonts w:hint="eastAsia" w:ascii="仿宋_GB2312" w:hAnsi="仿宋_GB2312" w:eastAsia="仿宋_GB2312" w:cs="仿宋_GB2312"/>
          <w:b w:val="0"/>
          <w:bCs w:val="0"/>
          <w:sz w:val="32"/>
          <w:szCs w:val="32"/>
          <w:lang w:val="en-US" w:eastAsia="zh-CN"/>
        </w:rPr>
        <w:t>予以处理。</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教师轮流命题规则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,1)</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sz w:val="32"/>
          <w:szCs w:val="32"/>
          <w:lang w:val="en-US" w:eastAsia="zh-CN"/>
        </w:rPr>
        <w:t>为保证学院试卷命题工作的顺利开展，做到命题工作分配的公开、公平、公正，各教研室及课程组按照教师轮流命题制度，合理安排工作。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,2)</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sz w:val="32"/>
          <w:szCs w:val="32"/>
          <w:lang w:val="en-US" w:eastAsia="zh-CN"/>
        </w:rPr>
        <w:t>命题教师原则上不得推卸试卷命题工作，一旦教师承担命题工作，必须认真对待命题工作，严格按照《马克思主义学院试卷命题质量标准》命题，以保证试卷质量。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EQ \o\ac(</w:instrText>
      </w:r>
      <w:r>
        <w:rPr>
          <w:rFonts w:hint="eastAsia" w:ascii="仿宋_GB2312" w:hAnsi="仿宋_GB2312" w:eastAsia="仿宋_GB2312" w:cs="仿宋_GB2312"/>
          <w:b w:val="0"/>
          <w:bCs w:val="0"/>
          <w:kern w:val="2"/>
          <w:position w:val="-6"/>
          <w:sz w:val="48"/>
          <w:szCs w:val="32"/>
          <w:lang w:val="en-US" w:eastAsia="zh-CN" w:bidi="ar-SA"/>
        </w:rPr>
        <w:instrText xml:space="preserve">○</w:instrText>
      </w:r>
      <w:r>
        <w:rPr>
          <w:rFonts w:hint="eastAsia" w:ascii="仿宋_GB2312" w:hAnsi="仿宋_GB2312" w:eastAsia="仿宋_GB2312" w:cs="仿宋_GB2312"/>
          <w:b w:val="0"/>
          <w:bCs w:val="0"/>
          <w:position w:val="0"/>
          <w:sz w:val="32"/>
          <w:szCs w:val="32"/>
          <w:lang w:val="en-US" w:eastAsia="zh-CN"/>
        </w:rPr>
        <w:instrText xml:space="preserve">,3)</w:instrText>
      </w:r>
      <w:r>
        <w:rPr>
          <w:rFonts w:hint="eastAsia" w:ascii="仿宋_GB2312" w:hAnsi="仿宋_GB2312" w:eastAsia="仿宋_GB2312" w:cs="仿宋_GB2312"/>
          <w:b w:val="0"/>
          <w:bCs w:val="0"/>
          <w:sz w:val="32"/>
          <w:szCs w:val="32"/>
          <w:lang w:val="en-US" w:eastAsia="zh-CN"/>
        </w:rPr>
        <w:fldChar w:fldCharType="end"/>
      </w:r>
      <w:r>
        <w:rPr>
          <w:rFonts w:hint="eastAsia" w:ascii="仿宋_GB2312" w:hAnsi="仿宋_GB2312" w:eastAsia="仿宋_GB2312" w:cs="仿宋_GB2312"/>
          <w:b w:val="0"/>
          <w:bCs w:val="0"/>
          <w:sz w:val="32"/>
          <w:szCs w:val="32"/>
          <w:lang w:val="en-US" w:eastAsia="zh-CN"/>
        </w:rPr>
        <w:t>入职未满一年教师原则上不安排试卷命题工作。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3520" w:firstLineChars="11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武汉工商学院马克思主义学院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480" w:firstLineChars="14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2024年3月1日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Calibri Light">
    <w:panose1 w:val="020F0302020204030204"/>
    <w:charset w:val="00"/>
    <w:family w:val="auto"/>
    <w:pitch w:val="default"/>
    <w:sig w:usb0="E4002EFF" w:usb1="C000247B" w:usb2="00000009" w:usb3="00000000" w:csb0="200001FF" w:csb1="00000000"/>
  </w:font>
  <w:font w:name="汉仪行楷简">
    <w:panose1 w:val="02010609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914CCF"/>
    <w:multiLevelType w:val="singleLevel"/>
    <w:tmpl w:val="94914CCF"/>
    <w:lvl w:ilvl="0" w:tentative="0">
      <w:start w:val="4"/>
      <w:numFmt w:val="chineseCounting"/>
      <w:suff w:val="nothing"/>
      <w:lvlText w:val="（%1）"/>
      <w:lvlJc w:val="left"/>
      <w:rPr>
        <w:rFonts w:hint="eastAsia"/>
      </w:rPr>
    </w:lvl>
  </w:abstractNum>
  <w:abstractNum w:abstractNumId="1">
    <w:nsid w:val="B523BA91"/>
    <w:multiLevelType w:val="singleLevel"/>
    <w:tmpl w:val="B523BA91"/>
    <w:lvl w:ilvl="0" w:tentative="0">
      <w:start w:val="1"/>
      <w:numFmt w:val="chineseCounting"/>
      <w:suff w:val="nothing"/>
      <w:lvlText w:val="（%1）"/>
      <w:lvlJc w:val="left"/>
      <w:pPr>
        <w:ind w:left="150" w:leftChars="0" w:firstLine="0" w:firstLineChars="0"/>
      </w:pPr>
      <w:rPr>
        <w:rFonts w:hint="eastAsia"/>
      </w:rPr>
    </w:lvl>
  </w:abstractNum>
  <w:abstractNum w:abstractNumId="2">
    <w:nsid w:val="EC1FA490"/>
    <w:multiLevelType w:val="singleLevel"/>
    <w:tmpl w:val="EC1FA490"/>
    <w:lvl w:ilvl="0" w:tentative="0">
      <w:start w:val="1"/>
      <w:numFmt w:val="chineseCounting"/>
      <w:suff w:val="nothing"/>
      <w:lvlText w:val="（%1）"/>
      <w:lvlJc w:val="left"/>
      <w:rPr>
        <w:rFonts w:hint="eastAsia"/>
      </w:rPr>
    </w:lvl>
  </w:abstractNum>
  <w:abstractNum w:abstractNumId="3">
    <w:nsid w:val="FDE7FD9B"/>
    <w:multiLevelType w:val="singleLevel"/>
    <w:tmpl w:val="FDE7FD9B"/>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yNWQ3MmNlYjFlZmViZGQwNWUwZTcyZmNmNmM3NDAifQ=="/>
  </w:docVars>
  <w:rsids>
    <w:rsidRoot w:val="00000000"/>
    <w:rsid w:val="02E37041"/>
    <w:rsid w:val="04634096"/>
    <w:rsid w:val="05B42F17"/>
    <w:rsid w:val="0C917B0E"/>
    <w:rsid w:val="0F2104DE"/>
    <w:rsid w:val="12C55523"/>
    <w:rsid w:val="151C63E2"/>
    <w:rsid w:val="1B4D5548"/>
    <w:rsid w:val="1C745866"/>
    <w:rsid w:val="1D07523B"/>
    <w:rsid w:val="1D2F75FB"/>
    <w:rsid w:val="22E22A19"/>
    <w:rsid w:val="24324C65"/>
    <w:rsid w:val="27C272BD"/>
    <w:rsid w:val="2AF11A1E"/>
    <w:rsid w:val="2B1656B9"/>
    <w:rsid w:val="2B8E4701"/>
    <w:rsid w:val="2BB3222B"/>
    <w:rsid w:val="2FCF0CB8"/>
    <w:rsid w:val="32E26A66"/>
    <w:rsid w:val="3734294E"/>
    <w:rsid w:val="3C2058C3"/>
    <w:rsid w:val="3E7932C1"/>
    <w:rsid w:val="42F308B1"/>
    <w:rsid w:val="43A713E9"/>
    <w:rsid w:val="47453369"/>
    <w:rsid w:val="480D03B6"/>
    <w:rsid w:val="480E5EDB"/>
    <w:rsid w:val="48A32770"/>
    <w:rsid w:val="4A655946"/>
    <w:rsid w:val="4B196533"/>
    <w:rsid w:val="4BCA036B"/>
    <w:rsid w:val="4DC71AF2"/>
    <w:rsid w:val="4F402521"/>
    <w:rsid w:val="51ED5FC3"/>
    <w:rsid w:val="533D62D3"/>
    <w:rsid w:val="5A18180B"/>
    <w:rsid w:val="5E9E0070"/>
    <w:rsid w:val="5F327072"/>
    <w:rsid w:val="5F61293D"/>
    <w:rsid w:val="60470E2A"/>
    <w:rsid w:val="61252BA5"/>
    <w:rsid w:val="672735E8"/>
    <w:rsid w:val="6CBA18DE"/>
    <w:rsid w:val="6EA97E5C"/>
    <w:rsid w:val="6FE4255E"/>
    <w:rsid w:val="70043039"/>
    <w:rsid w:val="729E16A8"/>
    <w:rsid w:val="799D05BD"/>
    <w:rsid w:val="7C217284"/>
    <w:rsid w:val="7ED607F9"/>
    <w:rsid w:val="7F1E5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2024-01-22T11:04:00Z</dcterms:created>
  <dc:creator>Administrator</dc:creator>
  <cp:lastModifiedBy>Administrator</cp:lastModifiedBy>
  <dcterms:modified xsi:type="dcterms:W3CDTF">2024-03-11T02:43:58Z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74FA9E1B91604156B636BA4BE6728202_12</vt:lpwstr>
  </property>
</Properties>
</file>