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B2123">
      <w:pPr>
        <w:keepNext w:val="0"/>
        <w:keepLines w:val="0"/>
        <w:pageBreakBefore w:val="0"/>
        <w:widowControl w:val="0"/>
        <w:kinsoku/>
        <w:wordWrap/>
        <w:overflowPunct/>
        <w:topLinePunct w:val="0"/>
        <w:bidi w:val="0"/>
        <w:adjustRightInd w:val="0"/>
        <w:snapToGrid w:val="0"/>
        <w:spacing w:after="0" w:line="560" w:lineRule="exact"/>
        <w:ind w:left="0"/>
        <w:rPr>
          <w:rFonts w:ascii="Times New Roman" w:hAnsi="Times New Roman" w:eastAsia="黑体" w:cs="Times New Roman"/>
          <w:b w:val="0"/>
          <w:bCs w:val="0"/>
          <w:color w:val="000000"/>
          <w:kern w:val="0"/>
          <w:sz w:val="32"/>
          <w:szCs w:val="32"/>
          <w14:ligatures w14:val="none"/>
        </w:rPr>
      </w:pPr>
      <w:r>
        <w:rPr>
          <w:rFonts w:ascii="Times New Roman" w:hAnsi="Times New Roman" w:eastAsia="黑体" w:cs="Times New Roman"/>
          <w:b w:val="0"/>
          <w:bCs w:val="0"/>
          <w:color w:val="000000"/>
          <w:kern w:val="0"/>
          <w:sz w:val="32"/>
          <w:szCs w:val="32"/>
          <w14:ligatures w14:val="none"/>
        </w:rPr>
        <w:t>附件1</w:t>
      </w:r>
    </w:p>
    <w:p w14:paraId="73145D8D">
      <w:pPr>
        <w:keepNext w:val="0"/>
        <w:keepLines w:val="0"/>
        <w:pageBreakBefore w:val="0"/>
        <w:widowControl w:val="0"/>
        <w:kinsoku/>
        <w:wordWrap/>
        <w:overflowPunct/>
        <w:topLinePunct w:val="0"/>
        <w:bidi w:val="0"/>
        <w:adjustRightInd w:val="0"/>
        <w:snapToGrid w:val="0"/>
        <w:spacing w:after="0" w:line="560" w:lineRule="exact"/>
        <w:ind w:left="0"/>
        <w:rPr>
          <w:rFonts w:ascii="Times New Roman" w:hAnsi="Times New Roman" w:eastAsia="黑体" w:cs="Times New Roman"/>
          <w:b w:val="0"/>
          <w:bCs w:val="0"/>
          <w:color w:val="000000"/>
          <w:kern w:val="0"/>
          <w:sz w:val="32"/>
          <w:szCs w:val="32"/>
          <w14:ligatures w14:val="none"/>
        </w:rPr>
      </w:pPr>
    </w:p>
    <w:p w14:paraId="6A67C5B1">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rPr>
          <w:rFonts w:hint="eastAsia" w:ascii="Times New Roman" w:hAnsi="Times New Roman" w:eastAsia="方正小标宋简体" w:cs="Times New Roman"/>
          <w:b w:val="0"/>
          <w:bCs w:val="0"/>
          <w:color w:val="000000"/>
          <w:kern w:val="0"/>
          <w:sz w:val="44"/>
          <w:szCs w:val="44"/>
          <w14:ligatures w14:val="none"/>
        </w:rPr>
      </w:pPr>
      <w:r>
        <w:rPr>
          <w:rFonts w:hint="eastAsia" w:ascii="Times New Roman" w:hAnsi="Times New Roman" w:eastAsia="方正小标宋简体" w:cs="Times New Roman"/>
          <w:b w:val="0"/>
          <w:bCs w:val="0"/>
          <w:color w:val="000000"/>
          <w:kern w:val="0"/>
          <w:sz w:val="44"/>
          <w:szCs w:val="44"/>
          <w14:ligatures w14:val="none"/>
        </w:rPr>
        <w:t>首批集成电路产教融合研究课题申报指南</w:t>
      </w:r>
    </w:p>
    <w:p w14:paraId="5AC909EC">
      <w:pPr>
        <w:keepNext w:val="0"/>
        <w:keepLines w:val="0"/>
        <w:pageBreakBefore w:val="0"/>
        <w:widowControl w:val="0"/>
        <w:kinsoku/>
        <w:wordWrap/>
        <w:overflowPunct/>
        <w:topLinePunct w:val="0"/>
        <w:bidi w:val="0"/>
        <w:adjustRightInd w:val="0"/>
        <w:snapToGrid w:val="0"/>
        <w:spacing w:after="0" w:line="560" w:lineRule="exact"/>
        <w:ind w:left="0"/>
        <w:jc w:val="center"/>
        <w:rPr>
          <w:rFonts w:hint="eastAsia" w:ascii="Times New Roman" w:hAnsi="Times New Roman" w:eastAsia="方正小标宋简体" w:cs="Times New Roman"/>
          <w:b w:val="0"/>
          <w:bCs w:val="0"/>
          <w:color w:val="000000"/>
          <w:kern w:val="0"/>
          <w:sz w:val="44"/>
          <w:szCs w:val="44"/>
          <w14:ligatures w14:val="none"/>
        </w:rPr>
      </w:pPr>
    </w:p>
    <w:p w14:paraId="2A1813F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Times New Roman" w:hAnsi="Times New Roman" w:eastAsia="仿宋_GB2312" w:cs="Times New Roman"/>
          <w:b w:val="0"/>
          <w:bCs w:val="0"/>
          <w:color w:val="000000"/>
          <w:kern w:val="0"/>
          <w:sz w:val="32"/>
          <w:szCs w:val="32"/>
          <w14:ligatures w14:val="none"/>
        </w:rPr>
      </w:pPr>
      <w:r>
        <w:rPr>
          <w:rFonts w:hint="eastAsia" w:ascii="Times New Roman" w:hAnsi="Times New Roman" w:eastAsia="仿宋_GB2312" w:cs="Times New Roman"/>
          <w:b w:val="0"/>
          <w:bCs w:val="0"/>
          <w:color w:val="000000"/>
          <w:kern w:val="0"/>
          <w:sz w:val="32"/>
          <w:szCs w:val="32"/>
          <w14:ligatures w14:val="none"/>
        </w:rPr>
        <w:t>为深入贯彻落实党的二十大关于加快发展现代产业体系、推动制造业高端化智能化绿色化发展的重要部署，全面落实《教育强国建设规划纲要(2024-2035年)》《制造业高质量发展规划》《新一代信息技术产业高质量发展行动方案》等文件精神，抢抓集成电路产业自主创新发展战略机遇，破解行业人才培养与产业需求深度脱节、产教融合协同机制不健全、核心技术教学转化不足等难题，教育部学校规划建设发展中心（以下简称“规建中心”）联合新北清科创(北京)教育科技有限公司</w:t>
      </w:r>
      <w:r>
        <w:rPr>
          <w:rFonts w:hint="eastAsia" w:ascii="Times New Roman" w:hAnsi="Times New Roman" w:eastAsia="仿宋_GB2312" w:cs="Times New Roman"/>
          <w:b w:val="0"/>
          <w:bCs w:val="0"/>
          <w:color w:val="auto"/>
          <w:kern w:val="0"/>
          <w:sz w:val="32"/>
          <w:szCs w:val="32"/>
          <w14:ligatures w14:val="none"/>
        </w:rPr>
        <w:t>（以下简称“</w:t>
      </w:r>
      <w:r>
        <w:rPr>
          <w:rFonts w:hint="eastAsia" w:ascii="仿宋_GB2312" w:hAnsi="Arial" w:eastAsia="仿宋_GB2312" w:cs="Arial"/>
          <w:b w:val="0"/>
          <w:bCs w:val="0"/>
          <w:color w:val="auto"/>
          <w:kern w:val="0"/>
          <w:sz w:val="32"/>
          <w:szCs w:val="32"/>
          <w:lang w:val="en-US" w:eastAsia="zh-CN"/>
          <w14:ligatures w14:val="none"/>
        </w:rPr>
        <w:t>新北清</w:t>
      </w:r>
      <w:r>
        <w:rPr>
          <w:rFonts w:hint="eastAsia" w:ascii="Times New Roman" w:hAnsi="Times New Roman" w:eastAsia="仿宋_GB2312" w:cs="Times New Roman"/>
          <w:b w:val="0"/>
          <w:bCs w:val="0"/>
          <w:color w:val="auto"/>
          <w:kern w:val="0"/>
          <w:sz w:val="32"/>
          <w:szCs w:val="32"/>
          <w14:ligatures w14:val="none"/>
        </w:rPr>
        <w:t>”</w:t>
      </w:r>
      <w:r>
        <w:rPr>
          <w:rFonts w:hint="eastAsia" w:ascii="Times New Roman" w:hAnsi="Times New Roman" w:eastAsia="仿宋_GB2312" w:cs="Times New Roman"/>
          <w:b w:val="0"/>
          <w:bCs w:val="0"/>
          <w:color w:val="000000"/>
          <w:kern w:val="0"/>
          <w:sz w:val="32"/>
          <w:szCs w:val="32"/>
          <w14:ligatures w14:val="none"/>
        </w:rPr>
        <w:t>）设立首批集成电路产教融合研究课题。为规范课题申报与研究工作，明确研究方向、申报条件及相关要求，特制定本申报指南。</w:t>
      </w:r>
    </w:p>
    <w:p w14:paraId="78C3679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Times New Roman" w:hAnsi="Times New Roman" w:eastAsia="仿宋_GB2312" w:cs="Times New Roman"/>
          <w:b w:val="0"/>
          <w:bCs w:val="0"/>
          <w:color w:val="000000"/>
          <w:kern w:val="0"/>
          <w:sz w:val="32"/>
          <w:szCs w:val="32"/>
          <w14:ligatures w14:val="none"/>
        </w:rPr>
      </w:pPr>
      <w:r>
        <w:rPr>
          <w:rFonts w:hint="eastAsia" w:ascii="Times New Roman" w:hAnsi="Times New Roman" w:eastAsia="仿宋_GB2312" w:cs="Times New Roman"/>
          <w:b w:val="0"/>
          <w:bCs w:val="0"/>
          <w:color w:val="000000"/>
          <w:kern w:val="0"/>
          <w:sz w:val="32"/>
          <w:szCs w:val="32"/>
          <w14:ligatures w14:val="none"/>
        </w:rPr>
        <w:t>本指南围绕集成电路</w:t>
      </w:r>
      <w:r>
        <w:rPr>
          <w:rFonts w:hint="eastAsia" w:ascii="Times New Roman" w:hAnsi="Times New Roman" w:eastAsia="仿宋_GB2312" w:cs="Times New Roman"/>
          <w:b w:val="0"/>
          <w:bCs w:val="0"/>
          <w:color w:val="000000"/>
          <w:kern w:val="0"/>
          <w:sz w:val="32"/>
          <w:szCs w:val="32"/>
          <w:lang w:val="en-US" w:eastAsia="zh-CN"/>
          <w14:ligatures w14:val="none"/>
        </w:rPr>
        <w:t>领域</w:t>
      </w:r>
      <w:r>
        <w:rPr>
          <w:rFonts w:hint="eastAsia" w:ascii="Times New Roman" w:hAnsi="Times New Roman" w:eastAsia="仿宋_GB2312" w:cs="Times New Roman"/>
          <w:b w:val="0"/>
          <w:bCs w:val="0"/>
          <w:color w:val="000000"/>
          <w:kern w:val="0"/>
          <w:sz w:val="32"/>
          <w:szCs w:val="32"/>
          <w14:ligatures w14:val="none"/>
        </w:rPr>
        <w:t>全产业链发展需求，覆盖芯片设计、晶圆制造、封装测试、设备材料、系统应用等核心环节，聚焦产教融合协同机制、人才培养体系、教学资源建设、实践平台打造等关键领域，突出应用性、创新性、落地性，旨在通过课题研究形成可复制、可推广的集成电路行业产教融合育人模式与实践成果，为产业高质量发展培育高素质技术技能人才、应用型人才和创新型人才。</w:t>
      </w:r>
    </w:p>
    <w:p w14:paraId="7B6ACD4B">
      <w:pPr>
        <w:pStyle w:val="11"/>
        <w:keepNext w:val="0"/>
        <w:keepLines w:val="0"/>
        <w:pageBreakBefore w:val="0"/>
        <w:widowControl w:val="0"/>
        <w:kinsoku/>
        <w:wordWrap/>
        <w:overflowPunct/>
        <w:topLinePunct w:val="0"/>
        <w:bidi w:val="0"/>
        <w:spacing w:line="560" w:lineRule="exact"/>
        <w:ind w:left="0" w:firstLine="660" w:firstLineChars="200"/>
        <w:jc w:val="both"/>
        <w:rPr>
          <w:rFonts w:ascii="Times New Roman" w:hAnsi="Times New Roman" w:eastAsia="黑体"/>
          <w:b w:val="0"/>
          <w:bCs w:val="0"/>
          <w:spacing w:val="5"/>
          <w:sz w:val="32"/>
          <w:szCs w:val="32"/>
          <w:lang w:eastAsia="zh-CN"/>
        </w:rPr>
      </w:pPr>
      <w:r>
        <w:rPr>
          <w:rFonts w:hint="eastAsia" w:ascii="Times New Roman" w:hAnsi="Times New Roman" w:eastAsia="黑体"/>
          <w:b w:val="0"/>
          <w:bCs w:val="0"/>
          <w:spacing w:val="5"/>
          <w:sz w:val="32"/>
          <w:szCs w:val="32"/>
          <w:lang w:eastAsia="zh-CN"/>
        </w:rPr>
        <w:t>一、课题申报内容</w:t>
      </w:r>
    </w:p>
    <w:p w14:paraId="4B52BFB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Times New Roman" w:hAnsi="Times New Roman" w:eastAsia="仿宋_GB2312" w:cs="Times New Roman"/>
          <w:b w:val="0"/>
          <w:bCs w:val="0"/>
          <w:color w:val="000000"/>
          <w:kern w:val="0"/>
          <w:sz w:val="32"/>
          <w:szCs w:val="32"/>
          <w14:ligatures w14:val="none"/>
        </w:rPr>
      </w:pPr>
      <w:r>
        <w:rPr>
          <w:rFonts w:hint="eastAsia" w:ascii="Times New Roman" w:hAnsi="Times New Roman" w:eastAsia="仿宋_GB2312" w:cs="Times New Roman"/>
          <w:b w:val="0"/>
          <w:bCs w:val="0"/>
          <w:color w:val="000000"/>
          <w:kern w:val="0"/>
          <w:sz w:val="32"/>
          <w:szCs w:val="32"/>
          <w14:ligatures w14:val="none"/>
        </w:rPr>
        <w:t>本次课题申报紧扣集成电路行业产教融合核心痛点与发展需求，聚焦产教融合协同机制构建、人才培养体系创新、教学资源开发、实训平台建设、师资队伍培育五大核心方向，共设置</w:t>
      </w:r>
      <w:r>
        <w:rPr>
          <w:rFonts w:hint="eastAsia" w:ascii="Times New Roman" w:hAnsi="Times New Roman" w:eastAsia="仿宋_GB2312" w:cs="Times New Roman"/>
          <w:b w:val="0"/>
          <w:bCs w:val="0"/>
          <w:color w:val="000000"/>
          <w:kern w:val="0"/>
          <w:sz w:val="32"/>
          <w:szCs w:val="32"/>
          <w:lang w:val="en-US" w:eastAsia="zh-CN"/>
          <w14:ligatures w14:val="none"/>
        </w:rPr>
        <w:t>9</w:t>
      </w:r>
      <w:r>
        <w:rPr>
          <w:rFonts w:hint="eastAsia" w:ascii="Times New Roman" w:hAnsi="Times New Roman" w:eastAsia="仿宋_GB2312" w:cs="Times New Roman"/>
          <w:b w:val="0"/>
          <w:bCs w:val="0"/>
          <w:color w:val="000000"/>
          <w:kern w:val="0"/>
          <w:sz w:val="32"/>
          <w:szCs w:val="32"/>
          <w14:ligatures w14:val="none"/>
        </w:rPr>
        <w:t>个具体研究选题，申报者可结合自身研究基础与产业资源，选择具体方向开展研究，也可在核心方向框架内自行设计细分研究内容，课题名称自拟。所有研究均需以产教融合为纽带，强化校企协同，注重成果的可操作性、可实施性和可推广性，避免纯理论研究。</w:t>
      </w:r>
    </w:p>
    <w:p w14:paraId="40929B7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（一）集成电路行业产教融合协同育人机制与保障体系研究</w:t>
      </w:r>
    </w:p>
    <w:p w14:paraId="5363DE7B">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聚焦集成电路产业人才培养与产业需求精准对接问题，研究政产学研用多方协同的集成电路产教融合育人机制，明确政府、院校、企业、行业协会、科研院所的权责分工；探索集成电路产教融合的政策保障、资金支持、利益分配、风险分担机制；构建</w:t>
      </w:r>
      <w:r>
        <w:rPr>
          <w:rFonts w:hint="eastAsia" w:ascii="仿宋_GB2312" w:hAnsi="Arial" w:eastAsia="仿宋_GB2312" w:cs="Arial"/>
          <w:b w:val="0"/>
          <w:bCs w:val="0"/>
          <w:color w:val="000000"/>
          <w:kern w:val="0"/>
          <w:sz w:val="32"/>
          <w:szCs w:val="32"/>
          <w:lang w:eastAsia="zh-CN"/>
          <w14:ligatures w14:val="none"/>
        </w:rPr>
        <w:t>“</w:t>
      </w:r>
      <w:r>
        <w:rPr>
          <w:rFonts w:ascii="仿宋_GB2312" w:hAnsi="Arial" w:eastAsia="仿宋_GB2312" w:cs="Arial"/>
          <w:b w:val="0"/>
          <w:bCs w:val="0"/>
          <w:color w:val="000000"/>
          <w:kern w:val="0"/>
          <w:sz w:val="32"/>
          <w:szCs w:val="32"/>
          <w14:ligatures w14:val="none"/>
        </w:rPr>
        <w:t>需求共提、方案共定、过程共管、成果共享</w:t>
      </w:r>
      <w:r>
        <w:rPr>
          <w:rFonts w:hint="eastAsia" w:ascii="仿宋_GB2312" w:hAnsi="Arial" w:eastAsia="仿宋_GB2312" w:cs="Arial"/>
          <w:b w:val="0"/>
          <w:bCs w:val="0"/>
          <w:color w:val="000000"/>
          <w:kern w:val="0"/>
          <w:sz w:val="32"/>
          <w:szCs w:val="32"/>
          <w:lang w:eastAsia="zh-CN"/>
          <w14:ligatures w14:val="none"/>
        </w:rPr>
        <w:t>”</w:t>
      </w:r>
      <w:r>
        <w:rPr>
          <w:rFonts w:ascii="仿宋_GB2312" w:hAnsi="Arial" w:eastAsia="仿宋_GB2312" w:cs="Arial"/>
          <w:b w:val="0"/>
          <w:bCs w:val="0"/>
          <w:color w:val="000000"/>
          <w:kern w:val="0"/>
          <w:sz w:val="32"/>
          <w:szCs w:val="32"/>
          <w14:ligatures w14:val="none"/>
        </w:rPr>
        <w:t>的校企协同模式，建立集成电路人才供需动态对接数据库，推动科研成果向教学资源、产业应用双向转化。</w:t>
      </w:r>
    </w:p>
    <w:p w14:paraId="395AE6E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6F58298A">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形成《集成电路行业产教融合协同育人实施指南》，明确多方协同的流程、机制与保障措施；</w:t>
      </w:r>
    </w:p>
    <w:p w14:paraId="243E913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构建1套集成电路人才供需动态监测指标体系，形成人才需求监测分析报告；</w:t>
      </w:r>
    </w:p>
    <w:p w14:paraId="0F569F9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产出</w:t>
      </w: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w:t>
      </w: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个可复制的集成电路产教融合协同育人典型案例。</w:t>
      </w:r>
    </w:p>
    <w:p w14:paraId="0936045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（二）集成电路产业核心岗位人才需求监测与培养标准研制</w:t>
      </w:r>
    </w:p>
    <w:p w14:paraId="7850F07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面向集成电路芯片设计、晶圆制造、封装测试、设备运维、系统应用等核心环节，开展产业核心岗位（如芯片设计工程师、工艺工程师、封装测试工程师、设备工程师等）人才需求调研，分析岗位能力要求与技能标准；结合产业技术发展趋势，动态监测人才缺口，研制与产业岗位精准对接的集成电路融合型人才培养标准与课程标准，明确不同层次、不同类型人才的培养目标、能力要求、课程体系。</w:t>
      </w:r>
    </w:p>
    <w:p w14:paraId="5426F3C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7563099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形成《集成电路产业核心岗位能力清单（2026版）》，涵盖岗位名称、能力要求、技能等级、知识体系；</w:t>
      </w:r>
    </w:p>
    <w:p w14:paraId="73748A3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研制1套分层次（本科/高职/中职）、分类型（创新型/应用型/技能型）的集成电路人才培养方案标准范本；</w:t>
      </w:r>
    </w:p>
    <w:p w14:paraId="58E7A3EB">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产出对应核心岗位的课程标准体系，含课程目标、教学内容、考核要求。</w:t>
      </w:r>
    </w:p>
    <w:p w14:paraId="498847E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（三）高校集成电路专业（群）产教融合型人才培养体系构建与实践</w:t>
      </w:r>
    </w:p>
    <w:p w14:paraId="0C3B91CF">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研究内容：针对高校集成电路专业（群）人才培养与产业需求脱节、实践教学环节薄弱等问题，构建“理论教学+实践教学+产业项目”三位一体的产教融合型人才培养体系；探索“高校专业+企业赛道” 的定向培养模式，联合集成电路龙头企业开发模块化、项目化课程体系；创新校企协同的教学组织形式与考核评价机制，推动企业真实项目、生产场景融入课堂教学。</w:t>
      </w:r>
    </w:p>
    <w:p w14:paraId="645575B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3D9193D8">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形成1套高校集成电路专业（群）产教融合型人才培养方案，含培养目标、课程体系、教学模式、考核评价体系；</w:t>
      </w:r>
    </w:p>
    <w:p w14:paraId="14E19F5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开发</w:t>
      </w: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w:t>
      </w: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门校企协同核心课程资源（含课程大纲、教学课件、项目案例）；</w:t>
      </w:r>
    </w:p>
    <w:p w14:paraId="2EA96B5F">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形成1所高校集成电路专业（群）产教融合改革实践案例报告。</w:t>
      </w:r>
    </w:p>
    <w:p w14:paraId="3488F4E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（四）职业院校集成电路技术类专业技能型人才培养模式创新</w:t>
      </w:r>
    </w:p>
    <w:p w14:paraId="05281026">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紧扣职业院校技能型人才培养定位，结合集成电路产业一线岗位技能需求，创新集成电路技术类专业“岗课赛证”融合的人才培养模式；研究职业院校集成电路专业实训教学体系构建路径，开发适配技能型人才培养的实训项目与教学资源；探索校企共建“产业学院”“实训基地” 的运营模式，强化学生岗位实操能力与职业素养培养。</w:t>
      </w:r>
    </w:p>
    <w:p w14:paraId="6D00273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39EC7524">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形成《职业院校集成电路技术类专业“岗课赛证”融合实施指南》；</w:t>
      </w:r>
    </w:p>
    <w:p w14:paraId="3F56C71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开发1套集成电路技术类专业实训教学体系，含实训项目库、实训指导书；</w:t>
      </w:r>
    </w:p>
    <w:p w14:paraId="7F215FA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产出2-3个职业院校集成电路专业产教融合人才培养典型案例。</w:t>
      </w:r>
    </w:p>
    <w:p w14:paraId="3E5E70E4">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（五）集成电路芯片设计/制造/封测核心技术教学转化与课程资源建设</w:t>
      </w:r>
    </w:p>
    <w:p w14:paraId="481DA6BB">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研究内容：围绕集成电路芯片设计（Verilog/VHDL 编程、FPGA设计、SOC设计</w:t>
      </w:r>
      <w:r>
        <w:rPr>
          <w:rFonts w:hint="eastAsia" w:ascii="仿宋_GB2312" w:hAnsi="Arial" w:eastAsia="仿宋_GB2312" w:cs="Arial"/>
          <w:b w:val="0"/>
          <w:bCs w:val="0"/>
          <w:color w:val="000000"/>
          <w:kern w:val="0"/>
          <w:sz w:val="32"/>
          <w:szCs w:val="32"/>
          <w14:ligatures w14:val="none"/>
        </w:rPr>
        <w:t>、版图设计</w:t>
      </w:r>
      <w:r>
        <w:rPr>
          <w:rFonts w:ascii="仿宋_GB2312" w:hAnsi="Arial" w:eastAsia="仿宋_GB2312" w:cs="Arial"/>
          <w:b w:val="0"/>
          <w:bCs w:val="0"/>
          <w:color w:val="000000"/>
          <w:kern w:val="0"/>
          <w:sz w:val="32"/>
          <w:szCs w:val="32"/>
          <w14:ligatures w14:val="none"/>
        </w:rPr>
        <w:t>）、晶圆制造（光刻、刻蚀、薄膜沉积、掺杂）、封装测试（晶圆级封装、系统级封装、</w:t>
      </w:r>
      <w:r>
        <w:rPr>
          <w:rFonts w:hint="eastAsia" w:ascii="仿宋_GB2312" w:hAnsi="Arial" w:eastAsia="仿宋_GB2312" w:cs="Arial"/>
          <w:b w:val="0"/>
          <w:bCs w:val="0"/>
          <w:color w:val="000000"/>
          <w:kern w:val="0"/>
          <w:sz w:val="32"/>
          <w:szCs w:val="32"/>
          <w14:ligatures w14:val="none"/>
        </w:rPr>
        <w:t>FT</w:t>
      </w:r>
      <w:r>
        <w:rPr>
          <w:rFonts w:ascii="仿宋_GB2312" w:hAnsi="Arial" w:eastAsia="仿宋_GB2312" w:cs="Arial"/>
          <w:b w:val="0"/>
          <w:bCs w:val="0"/>
          <w:color w:val="000000"/>
          <w:kern w:val="0"/>
          <w:sz w:val="32"/>
          <w:szCs w:val="32"/>
          <w14:ligatures w14:val="none"/>
        </w:rPr>
        <w:t>测试）等核心技术，开展产业技术教学转化研究，将企业核心技术、工艺标准、生产流程转化为教学内容；开发模块化、项目化的核心课程资源，配套建设数字化教学资源（如虚拟仿真课件、教学视频、案例库）。</w:t>
      </w:r>
    </w:p>
    <w:p w14:paraId="34922DD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66F5B678">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开发</w:t>
      </w: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w:t>
      </w: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套集成电路核心技术课程资源包，含课程大纲、教学课件、项目案例、考核题库；</w:t>
      </w:r>
    </w:p>
    <w:p w14:paraId="7B66153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建设1个集成电路核心技术数字化教学资源库（含不少于</w:t>
      </w: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0个教学视频、</w:t>
      </w: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0个虚拟仿真案例）；</w:t>
      </w:r>
    </w:p>
    <w:p w14:paraId="164920A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形成《集成电路产业核心技术教学转化手册》。</w:t>
      </w:r>
    </w:p>
    <w:p w14:paraId="0E772ECB">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（六）集成电路行业产教融合实训基地建设标准与运营模式研究</w:t>
      </w:r>
    </w:p>
    <w:p w14:paraId="0D4AE01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结合集成电路产业岗位实训需求，研究集成电路产教融合实训基地的建设标准，明确基地的功能定位、软硬件配置、场地规划、安全管理要求；探索校企共建共享集成电路实训基地的运营模式，研究基地的师资配备、实训项目开发、对外服务机制；构建实训基地人才培养效果、运行效率、服务能力的多维度评价体系。</w:t>
      </w:r>
    </w:p>
    <w:p w14:paraId="0C838AA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2D6A05C6">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研制《集成电路行业产教融合实训基地建设标准（试行）》；</w:t>
      </w:r>
    </w:p>
    <w:p w14:paraId="576C5B1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形成1套集成电路产教融合实训基地运营管理方案，含师资管理、项目管理、成本核算、对外服务机制；</w:t>
      </w:r>
    </w:p>
    <w:p w14:paraId="72F04DB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产出1个集成电路产教融合实训基地建设与运营典型案例。</w:t>
      </w:r>
    </w:p>
    <w:p w14:paraId="07E31C36">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（七）集成电路校企双导师队伍建设机制与能力提升路径研究</w:t>
      </w:r>
    </w:p>
    <w:p w14:paraId="2EBE014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针对集成电路专业师资队伍产业实践能力不足、校企师资协同不畅等问题，研究集成电路校企双导师队伍建设机制，明确双导师的选聘标准、职责分工、考核评价办法；探索高校教师产业实践能力提升路径与企业导师教学能力培养模式，构建双导师互聘互派、双向培养的长效机制；开发双导师能力提升培训课程与教学资源。</w:t>
      </w:r>
    </w:p>
    <w:p w14:paraId="4A4413C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30B887D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形成《集成电路行业校企双导师队伍建设实施办法》，含选聘标准、职责分工、考核评价体系；</w:t>
      </w:r>
    </w:p>
    <w:p w14:paraId="32406AA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开发1套集成电路双导师能力提升培训课程资源，含培训大纲、教学课件；</w:t>
      </w:r>
    </w:p>
    <w:p w14:paraId="6C481B7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产出3-5个集成电路校企双导师队伍建设典型案例。</w:t>
      </w:r>
    </w:p>
    <w:p w14:paraId="2552E18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（八）集成电路产业新职业/新岗位技能标准与认证体系研究</w:t>
      </w:r>
    </w:p>
    <w:p w14:paraId="77A1BEB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紧跟集成电路产业技术发展趋势（如第三代半导体、集成电路EDA工具、芯片封装测试新工艺、集成电路智能制造），开展集成电路产业新职业、新岗位调研与识别；研制新职业/新岗位的技能标准，明确技能要求、知识体系、考核内容；探索集成电路行业职业技能认证与院校学历教育衔接机制，构建 “学历证书+职业技能等级证书” 融通的认证体系。</w:t>
      </w:r>
    </w:p>
    <w:p w14:paraId="131F77A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393E52F4">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形成《集成电路产业新职业/新岗位识别报告（2026 版）》，识别3-5个新职业/新岗位；</w:t>
      </w:r>
    </w:p>
    <w:p w14:paraId="27013C33">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研制对应新职业/新岗位的技能标准与考核大纲；</w:t>
      </w:r>
    </w:p>
    <w:p w14:paraId="100CE373">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形成《集成电路行业“学历证书+职业技能等级证书”融通实施指南》。</w:t>
      </w:r>
    </w:p>
    <w:p w14:paraId="597E6CD8">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w:t>
      </w:r>
      <w:r>
        <w:rPr>
          <w:rFonts w:hint="eastAsia" w:ascii="楷体_GB2312" w:hAnsi="Arial" w:eastAsia="楷体_GB2312" w:cs="Arial"/>
          <w:b w:val="0"/>
          <w:bCs w:val="0"/>
          <w:color w:val="000000"/>
          <w:kern w:val="0"/>
          <w:sz w:val="32"/>
          <w:szCs w:val="32"/>
          <w:lang w:val="en-US" w:eastAsia="zh-CN"/>
          <w14:ligatures w14:val="none"/>
        </w:rPr>
        <w:t>九</w:t>
      </w:r>
      <w:r>
        <w:rPr>
          <w:rFonts w:hint="eastAsia" w:ascii="楷体_GB2312" w:hAnsi="Arial" w:eastAsia="楷体_GB2312" w:cs="Arial"/>
          <w:b w:val="0"/>
          <w:bCs w:val="0"/>
          <w:color w:val="000000"/>
          <w:kern w:val="0"/>
          <w:sz w:val="32"/>
          <w:szCs w:val="32"/>
          <w14:ligatures w14:val="none"/>
        </w:rPr>
        <w:t>）集成电路产业国际化人才培养与校企协同创新合作研究</w:t>
      </w:r>
    </w:p>
    <w:p w14:paraId="622291E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研究内容：结合集成电路产业国际化发展需求，研究集成电路产业国际化人才培养目标与能力要求，构建“专业能力+外语能力+国际视野”的国际化人才培养体系；探索校企协同开展集成电路国际化人才培养的模式，联合跨国集成电路企业、海外院校开展联合培养、国际交流；研究集成电路领域校企协同创新合作机制，推动校企联合开展国际技术研发、标准制定。</w:t>
      </w:r>
    </w:p>
    <w:p w14:paraId="6344394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成果产出要求：</w:t>
      </w:r>
    </w:p>
    <w:p w14:paraId="4B5694B6">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形成1套集成电路产业国际化人才培养方案，含培养目标、课程体系、国际交流模式；</w:t>
      </w:r>
    </w:p>
    <w:p w14:paraId="5393F93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产出2-3个集成电路校企协同国际化人才培养典型案例；</w:t>
      </w:r>
    </w:p>
    <w:p w14:paraId="6ECD5AF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形成《集成电路领域校企协同国际创新合作实施建议》。</w:t>
      </w:r>
    </w:p>
    <w:p w14:paraId="5726E22F">
      <w:pPr>
        <w:pStyle w:val="11"/>
        <w:keepNext w:val="0"/>
        <w:keepLines w:val="0"/>
        <w:pageBreakBefore w:val="0"/>
        <w:widowControl w:val="0"/>
        <w:kinsoku/>
        <w:wordWrap/>
        <w:overflowPunct/>
        <w:topLinePunct w:val="0"/>
        <w:bidi w:val="0"/>
        <w:spacing w:line="560" w:lineRule="exact"/>
        <w:ind w:left="0" w:firstLine="660" w:firstLineChars="200"/>
        <w:jc w:val="both"/>
        <w:rPr>
          <w:rFonts w:ascii="Times New Roman" w:hAnsi="Times New Roman" w:eastAsia="黑体"/>
          <w:b w:val="0"/>
          <w:bCs w:val="0"/>
          <w:spacing w:val="5"/>
          <w:sz w:val="32"/>
          <w:szCs w:val="32"/>
          <w:lang w:eastAsia="zh-CN"/>
        </w:rPr>
      </w:pPr>
      <w:r>
        <w:rPr>
          <w:rFonts w:ascii="Times New Roman" w:hAnsi="Times New Roman" w:eastAsia="黑体"/>
          <w:b w:val="0"/>
          <w:bCs w:val="0"/>
          <w:spacing w:val="5"/>
          <w:sz w:val="32"/>
          <w:szCs w:val="32"/>
          <w:lang w:eastAsia="zh-CN"/>
        </w:rPr>
        <w:t>二、课题申报条件</w:t>
      </w:r>
    </w:p>
    <w:p w14:paraId="09C0110D">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本次课题申报面向地方教育行政部门、普通高校、职业院校、科研院所、集成电路行业骨干企业、行业协会等单位，鼓励跨区域、跨类型、校企多方联合申报，组建产学研用协同研究团队。申报单位及课题研究团队需满足以下条件：</w:t>
      </w:r>
    </w:p>
    <w:p w14:paraId="285AC96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（一）申报单位条件</w:t>
      </w:r>
    </w:p>
    <w:p w14:paraId="3DEC8E24">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具有独立法人资格，在集成电路相关领域具备良好的研究基础、教学资源或产业实践经验；</w:t>
      </w:r>
    </w:p>
    <w:p w14:paraId="3715D73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拥有固定的研究团队、必要的研究条件（如实验室、实训基地、数据分析平台等）和经费保障能力，能确保课题研究工作按时、保质完成；</w:t>
      </w:r>
    </w:p>
    <w:p w14:paraId="5BEF2908">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优先支持已设立集成电路相关专业、成立集成电路研究中心或与集成电路企业建立深度合作关系的单位；</w:t>
      </w:r>
    </w:p>
    <w:p w14:paraId="01060B0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4.</w:t>
      </w:r>
      <w:r>
        <w:rPr>
          <w:rFonts w:ascii="仿宋_GB2312" w:hAnsi="Arial" w:eastAsia="仿宋_GB2312" w:cs="Arial"/>
          <w:b w:val="0"/>
          <w:bCs w:val="0"/>
          <w:color w:val="000000"/>
          <w:kern w:val="0"/>
          <w:sz w:val="32"/>
          <w:szCs w:val="32"/>
          <w14:ligatures w14:val="none"/>
        </w:rPr>
        <w:t>优先支持有集成电路产教融合相关研究成果、实践案例的单位，不支持无相关研究基础的纯理论申报。</w:t>
      </w:r>
    </w:p>
    <w:p w14:paraId="5FE0B27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（二）课题负责人与团队条件</w:t>
      </w:r>
    </w:p>
    <w:p w14:paraId="4A2BC3F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课题负责人须具有较强的组织协调能力和研究能力，原则上应具有副高及以上专业技术职称（或同等专业水平）；未达到副高职称的，需由3位及以上正高职称专家联合出具书面推荐意见；</w:t>
      </w:r>
    </w:p>
    <w:p w14:paraId="0C0ACC2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课题负责人在集成电路相关领域有研究积累，具有相关研究成果（如论文、教材、专利、课题、获奖成果等），每人限报1项课题；</w:t>
      </w:r>
    </w:p>
    <w:p w14:paraId="1545D433">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课题研究团队结构合理，分工明确，核心成员不少于3人，涵盖教育研究、专业教学、产业技术、企业管理等相关领域人员，硕士（含）以上研究生可作为团队成员；鼓励跨学科、跨单位组建团队，吸收集成电路企业技术专家、生产管理专家加入；</w:t>
      </w:r>
    </w:p>
    <w:p w14:paraId="32EA639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4.</w:t>
      </w:r>
      <w:r>
        <w:rPr>
          <w:rFonts w:ascii="仿宋_GB2312" w:hAnsi="Arial" w:eastAsia="仿宋_GB2312" w:cs="Arial"/>
          <w:b w:val="0"/>
          <w:bCs w:val="0"/>
          <w:color w:val="000000"/>
          <w:kern w:val="0"/>
          <w:sz w:val="32"/>
          <w:szCs w:val="32"/>
          <w14:ligatures w14:val="none"/>
        </w:rPr>
        <w:t>团队成员政治素质和业务素质良好，能全程参与课题研究工作，确保研究工作的连续性和有效性。</w:t>
      </w:r>
    </w:p>
    <w:p w14:paraId="64FAB6F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（三）知识产权与科研诚信要求</w:t>
      </w:r>
    </w:p>
    <w:p w14:paraId="014A4D9F">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申报课题无知识产权争议，研究内容不涉及国家秘密、商业秘密；</w:t>
      </w:r>
    </w:p>
    <w:p w14:paraId="1A90741A">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申请人应客观、真实地填写申报材料，在申报书中引用他人研究成果时，须以脚注或其他方式注明出处；</w:t>
      </w:r>
    </w:p>
    <w:p w14:paraId="32C2CAC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严禁伪造、篡改科学数据，抄袭他人著作、论文或者剽窃他人科研成果等科研不端行为，一经查实，将取消申报资格，情节严重的予以通报，并纳入科研诚信档案。</w:t>
      </w:r>
    </w:p>
    <w:p w14:paraId="75EA4EFB">
      <w:pPr>
        <w:pStyle w:val="11"/>
        <w:keepNext w:val="0"/>
        <w:keepLines w:val="0"/>
        <w:pageBreakBefore w:val="0"/>
        <w:widowControl w:val="0"/>
        <w:kinsoku/>
        <w:wordWrap/>
        <w:overflowPunct/>
        <w:topLinePunct w:val="0"/>
        <w:bidi w:val="0"/>
        <w:spacing w:line="560" w:lineRule="exact"/>
        <w:ind w:left="0" w:firstLine="660" w:firstLineChars="200"/>
        <w:jc w:val="both"/>
        <w:rPr>
          <w:rFonts w:ascii="Times New Roman" w:hAnsi="Times New Roman" w:eastAsia="黑体"/>
          <w:b w:val="0"/>
          <w:bCs w:val="0"/>
          <w:spacing w:val="5"/>
          <w:sz w:val="32"/>
          <w:szCs w:val="32"/>
          <w:lang w:eastAsia="zh-CN"/>
        </w:rPr>
      </w:pPr>
      <w:r>
        <w:rPr>
          <w:rFonts w:ascii="Times New Roman" w:hAnsi="Times New Roman" w:eastAsia="黑体"/>
          <w:b w:val="0"/>
          <w:bCs w:val="0"/>
          <w:spacing w:val="5"/>
          <w:sz w:val="32"/>
          <w:szCs w:val="32"/>
          <w:lang w:eastAsia="zh-CN"/>
        </w:rPr>
        <w:t>三、课题要求</w:t>
      </w:r>
    </w:p>
    <w:p w14:paraId="38E4E018">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（一）研究成果要求</w:t>
      </w:r>
    </w:p>
    <w:p w14:paraId="3F75BFFA">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课题研究应坚持应用性、创新性、落地性相结合，紧扣集成电路行业发展实际和教育教学改革需求，以总结既有经验和案例为基础，注重形成标准体系、制度体系、实施意见、工作指南、技术方案、案例库、课程体系及教材资源等可落地的成果；</w:t>
      </w:r>
    </w:p>
    <w:p w14:paraId="2352A9B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研究成果形式包括但不限于：研究报告、实施指南、标准草案、课程资源包、数字化资源库、实训方案、典型案例、论文、专著、专利、科技成果说明等；所有成果均需标注 “教育部学校规划建设发展中心联合</w:t>
      </w:r>
      <w:r>
        <w:rPr>
          <w:rFonts w:hint="eastAsia" w:ascii="仿宋_GB2312" w:hAnsi="Arial" w:eastAsia="仿宋_GB2312" w:cs="Arial"/>
          <w:b w:val="0"/>
          <w:bCs w:val="0"/>
          <w:color w:val="000000"/>
          <w:kern w:val="0"/>
          <w:sz w:val="32"/>
          <w:szCs w:val="32"/>
          <w14:ligatures w14:val="none"/>
        </w:rPr>
        <w:t>新北清科创(北京)教育科技有限公司</w:t>
      </w:r>
      <w:r>
        <w:rPr>
          <w:rFonts w:ascii="仿宋_GB2312" w:hAnsi="Arial" w:eastAsia="仿宋_GB2312" w:cs="Arial"/>
          <w:b w:val="0"/>
          <w:bCs w:val="0"/>
          <w:color w:val="000000"/>
          <w:kern w:val="0"/>
          <w:sz w:val="32"/>
          <w:szCs w:val="32"/>
          <w14:ligatures w14:val="none"/>
        </w:rPr>
        <w:t>首批集成电路产教融合研究课题”字样（含课题名称和编号）；</w:t>
      </w:r>
    </w:p>
    <w:p w14:paraId="3544DD4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课题结题时，需完成申报书中承诺的全部考核指标，提交的研究成果需符合行业规范和教学要求，能直接服务于集成电路专业建设、人才培养、产教融合平台运营等实际工作。</w:t>
      </w:r>
    </w:p>
    <w:p w14:paraId="2DE95E1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（二）研究过程管理要求</w:t>
      </w:r>
    </w:p>
    <w:p w14:paraId="6CCC1AE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开题管理：课题立项后，课题承担单位需在1个月内组织开题论证，形成开题报告，并将开题报告及相关论证材料报规建中心</w:t>
      </w:r>
      <w:r>
        <w:rPr>
          <w:rFonts w:ascii="仿宋_GB2312" w:hAnsi="Arial" w:eastAsia="仿宋_GB2312" w:cs="Arial"/>
          <w:b w:val="0"/>
          <w:bCs w:val="0"/>
          <w:color w:val="auto"/>
          <w:kern w:val="0"/>
          <w:sz w:val="32"/>
          <w:szCs w:val="32"/>
          <w14:ligatures w14:val="none"/>
        </w:rPr>
        <w:t>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000000"/>
          <w:kern w:val="0"/>
          <w:sz w:val="32"/>
          <w:szCs w:val="32"/>
          <w14:ligatures w14:val="none"/>
        </w:rPr>
        <w:t>备案；</w:t>
      </w:r>
    </w:p>
    <w:p w14:paraId="6D32169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中期检查：立项后第3-9个月，规建中心联</w:t>
      </w:r>
      <w:r>
        <w:rPr>
          <w:rFonts w:ascii="仿宋_GB2312" w:hAnsi="Arial" w:eastAsia="仿宋_GB2312" w:cs="Arial"/>
          <w:b w:val="0"/>
          <w:bCs w:val="0"/>
          <w:color w:val="auto"/>
          <w:kern w:val="0"/>
          <w:sz w:val="32"/>
          <w:szCs w:val="32"/>
          <w14:ligatures w14:val="none"/>
        </w:rPr>
        <w:t>合</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000000"/>
          <w:kern w:val="0"/>
          <w:sz w:val="32"/>
          <w:szCs w:val="32"/>
          <w14:ligatures w14:val="none"/>
        </w:rPr>
        <w:t>织专家开展中期检查，重点评估阶段性研究成果、研究进度与后续研究计划；中期检查不合格的，将责令限期整改（整改期限不超过1个月），整改后仍不合格的，取消课题立项资格；</w:t>
      </w:r>
    </w:p>
    <w:p w14:paraId="3599A20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阶段性成果提交：课题研究期间，需按照研究计划定期提交阶段性研</w:t>
      </w:r>
      <w:r>
        <w:rPr>
          <w:rFonts w:ascii="仿宋_GB2312" w:hAnsi="Arial" w:eastAsia="仿宋_GB2312" w:cs="Arial"/>
          <w:b w:val="0"/>
          <w:bCs w:val="0"/>
          <w:color w:val="auto"/>
          <w:kern w:val="0"/>
          <w:sz w:val="32"/>
          <w:szCs w:val="32"/>
          <w14:ligatures w14:val="none"/>
        </w:rPr>
        <w:t>究成果（如调研报告、课程大纲、案例初稿等），接受规建中心与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的过程性指</w:t>
      </w:r>
      <w:r>
        <w:rPr>
          <w:rFonts w:ascii="仿宋_GB2312" w:hAnsi="Arial" w:eastAsia="仿宋_GB2312" w:cs="Arial"/>
          <w:b w:val="0"/>
          <w:bCs w:val="0"/>
          <w:color w:val="000000"/>
          <w:kern w:val="0"/>
          <w:sz w:val="32"/>
          <w:szCs w:val="32"/>
          <w14:ligatures w14:val="none"/>
        </w:rPr>
        <w:t>导与监督；</w:t>
      </w:r>
    </w:p>
    <w:p w14:paraId="61EACF0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4.</w:t>
      </w:r>
      <w:r>
        <w:rPr>
          <w:rFonts w:ascii="仿宋_GB2312" w:hAnsi="Arial" w:eastAsia="仿宋_GB2312" w:cs="Arial"/>
          <w:b w:val="0"/>
          <w:bCs w:val="0"/>
          <w:color w:val="000000"/>
          <w:kern w:val="0"/>
          <w:sz w:val="32"/>
          <w:szCs w:val="32"/>
          <w14:ligatures w14:val="none"/>
        </w:rPr>
        <w:t>结题验收：课题研究工作完成后，课题承担单位需向规建中</w:t>
      </w:r>
      <w:r>
        <w:rPr>
          <w:rFonts w:ascii="仿宋_GB2312" w:hAnsi="Arial" w:eastAsia="仿宋_GB2312" w:cs="Arial"/>
          <w:b w:val="0"/>
          <w:bCs w:val="0"/>
          <w:color w:val="auto"/>
          <w:kern w:val="0"/>
          <w:sz w:val="32"/>
          <w:szCs w:val="32"/>
          <w14:ligatures w14:val="none"/>
        </w:rPr>
        <w:t>心与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提交验收</w:t>
      </w:r>
      <w:r>
        <w:rPr>
          <w:rFonts w:ascii="仿宋_GB2312" w:hAnsi="Arial" w:eastAsia="仿宋_GB2312" w:cs="Arial"/>
          <w:b w:val="0"/>
          <w:bCs w:val="0"/>
          <w:color w:val="000000"/>
          <w:kern w:val="0"/>
          <w:sz w:val="32"/>
          <w:szCs w:val="32"/>
          <w14:ligatures w14:val="none"/>
        </w:rPr>
        <w:t>申请及全套结题材料（含结题报告、研究成果佐证材料、经费决算表等）；规建中心联</w:t>
      </w:r>
      <w:r>
        <w:rPr>
          <w:rFonts w:ascii="仿宋_GB2312" w:hAnsi="Arial" w:eastAsia="仿宋_GB2312" w:cs="Arial"/>
          <w:b w:val="0"/>
          <w:bCs w:val="0"/>
          <w:color w:val="auto"/>
          <w:kern w:val="0"/>
          <w:sz w:val="32"/>
          <w:szCs w:val="32"/>
          <w14:ligatures w14:val="none"/>
        </w:rPr>
        <w:t>合</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组</w:t>
      </w:r>
      <w:r>
        <w:rPr>
          <w:rFonts w:ascii="仿宋_GB2312" w:hAnsi="Arial" w:eastAsia="仿宋_GB2312" w:cs="Arial"/>
          <w:b w:val="0"/>
          <w:bCs w:val="0"/>
          <w:color w:val="000000"/>
          <w:kern w:val="0"/>
          <w:sz w:val="32"/>
          <w:szCs w:val="32"/>
          <w14:ligatures w14:val="none"/>
        </w:rPr>
        <w:t>织专家采用集中审核、现场验收等方式开展结题验收，验收通过的，颁发课题结题证明；验收未通过的，将给予6个月的补充研究或修改时间，完成后再次申请验收，逾期仍未通过的，取消课题立项资格。</w:t>
      </w:r>
    </w:p>
    <w:p w14:paraId="0814EE2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（三）经费管理要求</w:t>
      </w:r>
    </w:p>
    <w:p w14:paraId="260100E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课题负责人需在申报时科学编制经费预算，明确经费使用范围、额度及测算依据，经费预算需符合国家科研经费管理相关规定；</w:t>
      </w:r>
    </w:p>
    <w:p w14:paraId="0F8C29E9">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课题经费需专款专用、单独核算，主要用于课题研究直接相关支出，包括数据采集费、调研差旅费、会议费、专家咨询费、劳务费、软硬件购置费、资料印刷费、资源开发费等，不得用于与课题研究无关的其他开支；</w:t>
      </w:r>
    </w:p>
    <w:p w14:paraId="0F308585">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课题结题时，课题承担单位需提交经费决算表，详细说明经费使用情况，接</w:t>
      </w:r>
      <w:r>
        <w:rPr>
          <w:rFonts w:ascii="仿宋_GB2312" w:hAnsi="Arial" w:eastAsia="仿宋_GB2312" w:cs="Arial"/>
          <w:b w:val="0"/>
          <w:bCs w:val="0"/>
          <w:color w:val="000000"/>
          <w:kern w:val="0"/>
          <w:sz w:val="32"/>
          <w:szCs w:val="32"/>
          <w:highlight w:val="none"/>
          <w14:ligatures w14:val="none"/>
        </w:rPr>
        <w:t>受</w:t>
      </w:r>
      <w:bookmarkStart w:id="0" w:name="_GoBack"/>
      <w:bookmarkEnd w:id="0"/>
      <w:r>
        <w:rPr>
          <w:rFonts w:ascii="仿宋_GB2312" w:hAnsi="Arial" w:eastAsia="仿宋_GB2312" w:cs="Arial"/>
          <w:b w:val="0"/>
          <w:bCs w:val="0"/>
          <w:color w:val="000000"/>
          <w:kern w:val="0"/>
          <w:sz w:val="32"/>
          <w:szCs w:val="32"/>
          <w:highlight w:val="none"/>
          <w14:ligatures w14:val="none"/>
        </w:rPr>
        <w:t>规建中心</w:t>
      </w:r>
      <w:r>
        <w:rPr>
          <w:rFonts w:hint="eastAsia" w:ascii="仿宋_GB2312" w:hAnsi="Arial" w:eastAsia="仿宋_GB2312" w:cs="Arial"/>
          <w:b w:val="0"/>
          <w:bCs w:val="0"/>
          <w:color w:val="000000"/>
          <w:kern w:val="0"/>
          <w:sz w:val="32"/>
          <w:szCs w:val="32"/>
          <w:highlight w:val="none"/>
          <w:lang w:eastAsia="zh-CN"/>
          <w14:ligatures w14:val="none"/>
        </w:rPr>
        <w:t>、</w:t>
      </w:r>
      <w:r>
        <w:rPr>
          <w:rFonts w:hint="eastAsia" w:ascii="仿宋_GB2312" w:hAnsi="Arial" w:eastAsia="仿宋_GB2312" w:cs="Arial"/>
          <w:b w:val="0"/>
          <w:bCs w:val="0"/>
          <w:color w:val="000000"/>
          <w:kern w:val="0"/>
          <w:sz w:val="32"/>
          <w:szCs w:val="32"/>
          <w:highlight w:val="none"/>
          <w:lang w:val="en-US" w:eastAsia="zh-CN"/>
          <w14:ligatures w14:val="none"/>
        </w:rPr>
        <w:t>新北清</w:t>
      </w:r>
      <w:r>
        <w:rPr>
          <w:rFonts w:ascii="仿宋_GB2312" w:hAnsi="Arial" w:eastAsia="仿宋_GB2312" w:cs="Arial"/>
          <w:b w:val="0"/>
          <w:bCs w:val="0"/>
          <w:color w:val="000000"/>
          <w:kern w:val="0"/>
          <w:sz w:val="32"/>
          <w:szCs w:val="32"/>
          <w:highlight w:val="none"/>
          <w14:ligatures w14:val="none"/>
        </w:rPr>
        <w:t>的审</w:t>
      </w:r>
      <w:r>
        <w:rPr>
          <w:rFonts w:ascii="仿宋_GB2312" w:hAnsi="Arial" w:eastAsia="仿宋_GB2312" w:cs="Arial"/>
          <w:b w:val="0"/>
          <w:bCs w:val="0"/>
          <w:color w:val="000000"/>
          <w:kern w:val="0"/>
          <w:sz w:val="32"/>
          <w:szCs w:val="32"/>
          <w14:ligatures w14:val="none"/>
        </w:rPr>
        <w:t>核与监督；经费使用存在违规行为的，将按相关规定处理。</w:t>
      </w:r>
    </w:p>
    <w:p w14:paraId="537F09CB">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（四）知识产权与成果推广要求</w:t>
      </w:r>
    </w:p>
    <w:p w14:paraId="4BA79FB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课题研究过程中形成的各类研究成果，其知识产权归属由课题申报单位与合作单位（含企业、科研院所等）根据具体贡献协商确定；</w:t>
      </w:r>
    </w:p>
    <w:p w14:paraId="78A709B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规建中心</w:t>
      </w:r>
      <w:r>
        <w:rPr>
          <w:rFonts w:ascii="仿宋_GB2312" w:hAnsi="Arial" w:eastAsia="仿宋_GB2312" w:cs="Arial"/>
          <w:b w:val="0"/>
          <w:bCs w:val="0"/>
          <w:color w:val="auto"/>
          <w:kern w:val="0"/>
          <w:sz w:val="32"/>
          <w:szCs w:val="32"/>
          <w14:ligatures w14:val="none"/>
        </w:rPr>
        <w:t>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拥</w:t>
      </w:r>
      <w:r>
        <w:rPr>
          <w:rFonts w:ascii="仿宋_GB2312" w:hAnsi="Arial" w:eastAsia="仿宋_GB2312" w:cs="Arial"/>
          <w:b w:val="0"/>
          <w:bCs w:val="0"/>
          <w:color w:val="000000"/>
          <w:kern w:val="0"/>
          <w:sz w:val="32"/>
          <w:szCs w:val="32"/>
          <w14:ligatures w14:val="none"/>
        </w:rPr>
        <w:t>有研究成果的推广、使用、宣传权利，课题承担单位需积极配合规建中</w:t>
      </w:r>
      <w:r>
        <w:rPr>
          <w:rFonts w:ascii="仿宋_GB2312" w:hAnsi="Arial" w:eastAsia="仿宋_GB2312" w:cs="Arial"/>
          <w:b w:val="0"/>
          <w:bCs w:val="0"/>
          <w:color w:val="auto"/>
          <w:kern w:val="0"/>
          <w:sz w:val="32"/>
          <w:szCs w:val="32"/>
          <w14:ligatures w14:val="none"/>
        </w:rPr>
        <w:t>心与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开展成</w:t>
      </w:r>
      <w:r>
        <w:rPr>
          <w:rFonts w:ascii="仿宋_GB2312" w:hAnsi="Arial" w:eastAsia="仿宋_GB2312" w:cs="Arial"/>
          <w:b w:val="0"/>
          <w:bCs w:val="0"/>
          <w:color w:val="000000"/>
          <w:kern w:val="0"/>
          <w:sz w:val="32"/>
          <w:szCs w:val="32"/>
          <w14:ligatures w14:val="none"/>
        </w:rPr>
        <w:t>果推广应用工作，包括成果汇编、案例发布、经验交流、现场推广等；</w:t>
      </w:r>
    </w:p>
    <w:p w14:paraId="3B2BBFD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课题承担单位需在研究成果推广应用过程中，及时收集反馈意见，持续优化研究成果，提升成果的实用性和推广价值。</w:t>
      </w:r>
    </w:p>
    <w:p w14:paraId="186A79CA">
      <w:pPr>
        <w:pStyle w:val="11"/>
        <w:keepNext w:val="0"/>
        <w:keepLines w:val="0"/>
        <w:pageBreakBefore w:val="0"/>
        <w:widowControl w:val="0"/>
        <w:kinsoku/>
        <w:wordWrap/>
        <w:overflowPunct/>
        <w:topLinePunct w:val="0"/>
        <w:bidi w:val="0"/>
        <w:spacing w:line="560" w:lineRule="exact"/>
        <w:ind w:left="0" w:firstLine="660" w:firstLineChars="200"/>
        <w:jc w:val="both"/>
        <w:rPr>
          <w:rFonts w:ascii="Times New Roman" w:hAnsi="Times New Roman" w:eastAsia="黑体"/>
          <w:b w:val="0"/>
          <w:bCs w:val="0"/>
          <w:spacing w:val="5"/>
          <w:sz w:val="32"/>
          <w:szCs w:val="32"/>
          <w:lang w:eastAsia="zh-CN"/>
        </w:rPr>
      </w:pPr>
      <w:r>
        <w:rPr>
          <w:rFonts w:ascii="Times New Roman" w:hAnsi="Times New Roman" w:eastAsia="黑体"/>
          <w:b w:val="0"/>
          <w:bCs w:val="0"/>
          <w:spacing w:val="5"/>
          <w:sz w:val="32"/>
          <w:szCs w:val="32"/>
          <w:lang w:eastAsia="zh-CN"/>
        </w:rPr>
        <w:t>四、课题支持办法</w:t>
      </w:r>
    </w:p>
    <w:p w14:paraId="47CEEB16">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（一）研究周期</w:t>
      </w:r>
    </w:p>
    <w:p w14:paraId="681D876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ascii="仿宋_GB2312" w:hAnsi="Arial" w:eastAsia="仿宋_GB2312" w:cs="Arial"/>
          <w:b w:val="0"/>
          <w:bCs w:val="0"/>
          <w:color w:val="000000"/>
          <w:kern w:val="0"/>
          <w:sz w:val="32"/>
          <w:szCs w:val="32"/>
          <w14:ligatures w14:val="none"/>
        </w:rPr>
        <w:t>本次课题研究周期原则上为1年，自课题立项公示之日起计算；确因研究内容复杂、工作量大需要延期的，课题承担单位需在研究期满前1个月向规</w:t>
      </w:r>
      <w:r>
        <w:rPr>
          <w:rFonts w:ascii="仿宋_GB2312" w:hAnsi="Arial" w:eastAsia="仿宋_GB2312" w:cs="Arial"/>
          <w:b w:val="0"/>
          <w:bCs w:val="0"/>
          <w:color w:val="auto"/>
          <w:kern w:val="0"/>
          <w:sz w:val="32"/>
          <w:szCs w:val="32"/>
          <w14:ligatures w14:val="none"/>
        </w:rPr>
        <w:t>建中心与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提</w:t>
      </w:r>
      <w:r>
        <w:rPr>
          <w:rFonts w:ascii="仿宋_GB2312" w:hAnsi="Arial" w:eastAsia="仿宋_GB2312" w:cs="Arial"/>
          <w:b w:val="0"/>
          <w:bCs w:val="0"/>
          <w:color w:val="000000"/>
          <w:kern w:val="0"/>
          <w:sz w:val="32"/>
          <w:szCs w:val="32"/>
          <w14:ligatures w14:val="none"/>
        </w:rPr>
        <w:t>交书面延期申请，说明延期理由、后续研究计划及延期时间，经审批同意后方可延期，延期时间最长不超过6个月，且仅可申请一次</w:t>
      </w:r>
      <w:r>
        <w:rPr>
          <w:rFonts w:hint="eastAsia" w:ascii="仿宋_GB2312" w:hAnsi="Arial" w:eastAsia="仿宋_GB2312" w:cs="Arial"/>
          <w:b w:val="0"/>
          <w:bCs w:val="0"/>
          <w:color w:val="000000"/>
          <w:kern w:val="0"/>
          <w:sz w:val="32"/>
          <w:szCs w:val="32"/>
          <w14:ligatures w14:val="none"/>
        </w:rPr>
        <w:t>。</w:t>
      </w:r>
    </w:p>
    <w:p w14:paraId="4FDF6CA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hint="eastAsia" w:ascii="楷体_GB2312" w:hAnsi="Arial" w:eastAsia="楷体_GB2312" w:cs="Arial"/>
          <w:b w:val="0"/>
          <w:bCs w:val="0"/>
          <w:color w:val="000000"/>
          <w:kern w:val="0"/>
          <w:sz w:val="32"/>
          <w:szCs w:val="32"/>
          <w14:ligatures w14:val="none"/>
        </w:rPr>
        <w:t>（二）经费支持</w:t>
      </w:r>
    </w:p>
    <w:p w14:paraId="49582965">
      <w:pPr>
        <w:pStyle w:val="31"/>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本课题由规建</w:t>
      </w:r>
      <w:r>
        <w:rPr>
          <w:rFonts w:ascii="仿宋_GB2312" w:hAnsi="Arial" w:eastAsia="仿宋_GB2312" w:cs="Arial"/>
          <w:b w:val="0"/>
          <w:bCs w:val="0"/>
          <w:color w:val="auto"/>
          <w:kern w:val="0"/>
          <w:sz w:val="32"/>
          <w:szCs w:val="32"/>
          <w14:ligatures w14:val="none"/>
        </w:rPr>
        <w:t>中心指</w:t>
      </w:r>
      <w:r>
        <w:rPr>
          <w:rFonts w:ascii="仿宋_GB2312" w:hAnsi="Arial" w:eastAsia="仿宋_GB2312" w:cs="Arial"/>
          <w:b w:val="0"/>
          <w:bCs w:val="0"/>
          <w:color w:val="000000"/>
          <w:kern w:val="0"/>
          <w:sz w:val="32"/>
          <w:szCs w:val="32"/>
          <w14:ligatures w14:val="none"/>
        </w:rPr>
        <w:t>导，</w:t>
      </w:r>
      <w:r>
        <w:rPr>
          <w:rFonts w:hint="eastAsia" w:ascii="仿宋_GB2312" w:hAnsi="Arial" w:eastAsia="仿宋_GB2312" w:cs="Arial"/>
          <w:b w:val="0"/>
          <w:bCs w:val="0"/>
          <w:color w:val="000000"/>
          <w:kern w:val="0"/>
          <w:sz w:val="32"/>
          <w:szCs w:val="32"/>
          <w:lang w:val="en-US" w:eastAsia="zh-CN"/>
          <w14:ligatures w14:val="none"/>
        </w:rPr>
        <w:t>新北清</w:t>
      </w:r>
      <w:r>
        <w:rPr>
          <w:rFonts w:ascii="仿宋_GB2312" w:hAnsi="Arial" w:eastAsia="仿宋_GB2312" w:cs="Arial"/>
          <w:b w:val="0"/>
          <w:bCs w:val="0"/>
          <w:color w:val="000000"/>
          <w:kern w:val="0"/>
          <w:sz w:val="32"/>
          <w:szCs w:val="32"/>
          <w14:ligatures w14:val="none"/>
        </w:rPr>
        <w:t>协调集成电路行业龙头企业、科研院所等相关单位作为技术牵头单位，为课题研究提供现金、软硬件设施、素材资源及技术援助等支持；</w:t>
      </w:r>
    </w:p>
    <w:p w14:paraId="03BB7A8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课题经费实行分级支持，根据研究难度、工作量、成果预期分为一般课题、重点课题、重大课题三类，具体支持额度如下：</w:t>
      </w:r>
    </w:p>
    <w:p w14:paraId="6ED0B2A1">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lang w:eastAsia="zh-CN"/>
          <w14:ligatures w14:val="none"/>
        </w:rPr>
        <w:t>（</w:t>
      </w:r>
      <w:r>
        <w:rPr>
          <w:rFonts w:hint="eastAsia" w:ascii="仿宋_GB2312" w:hAnsi="Arial" w:eastAsia="仿宋_GB2312" w:cs="Arial"/>
          <w:b w:val="0"/>
          <w:bCs w:val="0"/>
          <w:color w:val="000000"/>
          <w:kern w:val="0"/>
          <w:sz w:val="32"/>
          <w:szCs w:val="32"/>
          <w:lang w:val="en-US" w:eastAsia="zh-CN"/>
          <w14:ligatures w14:val="none"/>
        </w:rPr>
        <w:t>1</w:t>
      </w:r>
      <w:r>
        <w:rPr>
          <w:rFonts w:hint="eastAsia" w:ascii="仿宋_GB2312" w:hAnsi="Arial" w:eastAsia="仿宋_GB2312" w:cs="Arial"/>
          <w:b w:val="0"/>
          <w:bCs w:val="0"/>
          <w:color w:val="000000"/>
          <w:kern w:val="0"/>
          <w:sz w:val="32"/>
          <w:szCs w:val="32"/>
          <w:lang w:eastAsia="zh-CN"/>
          <w14:ligatures w14:val="none"/>
        </w:rPr>
        <w:t>）</w:t>
      </w:r>
      <w:r>
        <w:rPr>
          <w:rFonts w:ascii="仿宋_GB2312" w:hAnsi="Arial" w:eastAsia="仿宋_GB2312" w:cs="Arial"/>
          <w:b w:val="0"/>
          <w:bCs w:val="0"/>
          <w:color w:val="000000"/>
          <w:kern w:val="0"/>
          <w:sz w:val="32"/>
          <w:szCs w:val="32"/>
          <w14:ligatures w14:val="none"/>
        </w:rPr>
        <w:t>一般课题：经费支持额度5-20万元（含资金与软硬件资源，资金占比不低于40%）；</w:t>
      </w:r>
    </w:p>
    <w:p w14:paraId="62298932">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lang w:eastAsia="zh-CN"/>
          <w14:ligatures w14:val="none"/>
        </w:rPr>
        <w:t>（</w:t>
      </w:r>
      <w:r>
        <w:rPr>
          <w:rFonts w:hint="eastAsia" w:ascii="仿宋_GB2312" w:hAnsi="Arial" w:eastAsia="仿宋_GB2312" w:cs="Arial"/>
          <w:b w:val="0"/>
          <w:bCs w:val="0"/>
          <w:color w:val="000000"/>
          <w:kern w:val="0"/>
          <w:sz w:val="32"/>
          <w:szCs w:val="32"/>
          <w:lang w:val="en-US" w:eastAsia="zh-CN"/>
          <w14:ligatures w14:val="none"/>
        </w:rPr>
        <w:t>2</w:t>
      </w:r>
      <w:r>
        <w:rPr>
          <w:rFonts w:hint="eastAsia" w:ascii="仿宋_GB2312" w:hAnsi="Arial" w:eastAsia="仿宋_GB2312" w:cs="Arial"/>
          <w:b w:val="0"/>
          <w:bCs w:val="0"/>
          <w:color w:val="000000"/>
          <w:kern w:val="0"/>
          <w:sz w:val="32"/>
          <w:szCs w:val="32"/>
          <w:lang w:eastAsia="zh-CN"/>
          <w14:ligatures w14:val="none"/>
        </w:rPr>
        <w:t>）</w:t>
      </w:r>
      <w:r>
        <w:rPr>
          <w:rFonts w:ascii="仿宋_GB2312" w:hAnsi="Arial" w:eastAsia="仿宋_GB2312" w:cs="Arial"/>
          <w:b w:val="0"/>
          <w:bCs w:val="0"/>
          <w:color w:val="000000"/>
          <w:kern w:val="0"/>
          <w:sz w:val="32"/>
          <w:szCs w:val="32"/>
          <w14:ligatures w14:val="none"/>
        </w:rPr>
        <w:t>重点课题：经费支持额度20-50万元（含资金与软硬件资源，资金占比不低于40%）；</w:t>
      </w:r>
    </w:p>
    <w:p w14:paraId="6A0C964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lang w:eastAsia="zh-CN"/>
          <w14:ligatures w14:val="none"/>
        </w:rPr>
        <w:t>（</w:t>
      </w:r>
      <w:r>
        <w:rPr>
          <w:rFonts w:hint="eastAsia" w:ascii="仿宋_GB2312" w:hAnsi="Arial" w:eastAsia="仿宋_GB2312" w:cs="Arial"/>
          <w:b w:val="0"/>
          <w:bCs w:val="0"/>
          <w:color w:val="000000"/>
          <w:kern w:val="0"/>
          <w:sz w:val="32"/>
          <w:szCs w:val="32"/>
          <w:lang w:val="en-US" w:eastAsia="zh-CN"/>
          <w14:ligatures w14:val="none"/>
        </w:rPr>
        <w:t>3</w:t>
      </w:r>
      <w:r>
        <w:rPr>
          <w:rFonts w:hint="eastAsia" w:ascii="仿宋_GB2312" w:hAnsi="Arial" w:eastAsia="仿宋_GB2312" w:cs="Arial"/>
          <w:b w:val="0"/>
          <w:bCs w:val="0"/>
          <w:color w:val="000000"/>
          <w:kern w:val="0"/>
          <w:sz w:val="32"/>
          <w:szCs w:val="32"/>
          <w:lang w:eastAsia="zh-CN"/>
          <w14:ligatures w14:val="none"/>
        </w:rPr>
        <w:t>）</w:t>
      </w:r>
      <w:r>
        <w:rPr>
          <w:rFonts w:ascii="仿宋_GB2312" w:hAnsi="Arial" w:eastAsia="仿宋_GB2312" w:cs="Arial"/>
          <w:b w:val="0"/>
          <w:bCs w:val="0"/>
          <w:color w:val="000000"/>
          <w:kern w:val="0"/>
          <w:sz w:val="32"/>
          <w:szCs w:val="32"/>
          <w14:ligatures w14:val="none"/>
        </w:rPr>
        <w:t>重大课题：经费支持额度不低于50万元（含资金与软硬件资源，资金占比不低于40%）；</w:t>
      </w:r>
    </w:p>
    <w:p w14:paraId="7FEEC543">
      <w:pPr>
        <w:keepNext w:val="0"/>
        <w:keepLines w:val="0"/>
        <w:pageBreakBefore w:val="0"/>
        <w:widowControl w:val="0"/>
        <w:kinsoku/>
        <w:wordWrap/>
        <w:overflowPunct/>
        <w:topLinePunct w:val="0"/>
        <w:autoSpaceDE/>
        <w:autoSpaceDN/>
        <w:bidi w:val="0"/>
        <w:adjustRightInd w:val="0"/>
        <w:snapToGrid w:val="0"/>
        <w:spacing w:after="0" w:line="560" w:lineRule="exact"/>
        <w:ind w:left="0" w:firstLine="640" w:firstLineChars="200"/>
        <w:textAlignment w:val="auto"/>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申报单位原则上需按照不低于1:1的比例配套研究资金或软硬件资源，配套经费需专款专用，用于课题研究相关工作；具体经费额度及配套要求由申报单位与技术牵头单位协商确定，在课题申报书中明确；</w:t>
      </w:r>
    </w:p>
    <w:p w14:paraId="06128B83">
      <w:pPr>
        <w:keepNext w:val="0"/>
        <w:keepLines w:val="0"/>
        <w:pageBreakBefore w:val="0"/>
        <w:widowControl w:val="0"/>
        <w:kinsoku/>
        <w:wordWrap/>
        <w:overflowPunct/>
        <w:topLinePunct w:val="0"/>
        <w:autoSpaceDE/>
        <w:autoSpaceDN/>
        <w:bidi w:val="0"/>
        <w:adjustRightInd w:val="0"/>
        <w:snapToGrid w:val="0"/>
        <w:spacing w:after="0" w:line="560" w:lineRule="exact"/>
        <w:ind w:left="0" w:firstLine="640" w:firstLineChars="200"/>
        <w:textAlignment w:val="auto"/>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4.</w:t>
      </w:r>
      <w:r>
        <w:rPr>
          <w:rFonts w:ascii="仿宋_GB2312" w:hAnsi="Arial" w:eastAsia="仿宋_GB2312" w:cs="Arial"/>
          <w:b w:val="0"/>
          <w:bCs w:val="0"/>
          <w:color w:val="000000"/>
          <w:kern w:val="0"/>
          <w:sz w:val="32"/>
          <w:szCs w:val="32"/>
          <w14:ligatures w14:val="none"/>
        </w:rPr>
        <w:t>经费使用与管理须严格执行国家科研经费有关规定，保障专款专用，技术牵头单位与申报单位共同对经费使用情况进行监督。</w:t>
      </w:r>
    </w:p>
    <w:p w14:paraId="107ED0EC">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楷体_GB2312" w:hAnsi="Arial" w:eastAsia="楷体_GB2312" w:cs="Arial"/>
          <w:b w:val="0"/>
          <w:bCs w:val="0"/>
          <w:color w:val="000000"/>
          <w:kern w:val="0"/>
          <w:sz w:val="32"/>
          <w:szCs w:val="32"/>
          <w14:ligatures w14:val="none"/>
        </w:rPr>
      </w:pPr>
      <w:r>
        <w:rPr>
          <w:rFonts w:ascii="楷体_GB2312" w:hAnsi="Arial" w:eastAsia="楷体_GB2312" w:cs="Arial"/>
          <w:b w:val="0"/>
          <w:bCs w:val="0"/>
          <w:color w:val="000000"/>
          <w:kern w:val="0"/>
          <w:sz w:val="32"/>
          <w:szCs w:val="32"/>
          <w14:ligatures w14:val="none"/>
        </w:rPr>
        <w:t>（三）技术与资源支持</w:t>
      </w:r>
    </w:p>
    <w:p w14:paraId="6C21A747">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1.</w:t>
      </w:r>
      <w:r>
        <w:rPr>
          <w:rFonts w:ascii="仿宋_GB2312" w:hAnsi="Arial" w:eastAsia="仿宋_GB2312" w:cs="Arial"/>
          <w:b w:val="0"/>
          <w:bCs w:val="0"/>
          <w:color w:val="000000"/>
          <w:kern w:val="0"/>
          <w:sz w:val="32"/>
          <w:szCs w:val="32"/>
          <w14:ligatures w14:val="none"/>
        </w:rPr>
        <w:t>技术牵头单位为课题研究提供集成电路产业技术支持、行业资源对接、实践平台支撑，协助课题团队开展产业调研、成果转化、案例验证等工作；</w:t>
      </w:r>
    </w:p>
    <w:p w14:paraId="621B3BD0">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2.</w:t>
      </w:r>
      <w:r>
        <w:rPr>
          <w:rFonts w:ascii="仿宋_GB2312" w:hAnsi="Arial" w:eastAsia="仿宋_GB2312" w:cs="Arial"/>
          <w:b w:val="0"/>
          <w:bCs w:val="0"/>
          <w:color w:val="000000"/>
          <w:kern w:val="0"/>
          <w:sz w:val="32"/>
          <w:szCs w:val="32"/>
          <w14:ligatures w14:val="none"/>
        </w:rPr>
        <w:t>规建中心</w:t>
      </w:r>
      <w:r>
        <w:rPr>
          <w:rFonts w:ascii="仿宋_GB2312" w:hAnsi="Arial" w:eastAsia="仿宋_GB2312" w:cs="Arial"/>
          <w:b w:val="0"/>
          <w:bCs w:val="0"/>
          <w:color w:val="auto"/>
          <w:kern w:val="0"/>
          <w:sz w:val="32"/>
          <w:szCs w:val="32"/>
          <w14:ligatures w14:val="none"/>
        </w:rPr>
        <w:t>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auto"/>
          <w:kern w:val="0"/>
          <w:sz w:val="32"/>
          <w:szCs w:val="32"/>
          <w14:ligatures w14:val="none"/>
        </w:rPr>
        <w:t>为课</w:t>
      </w:r>
      <w:r>
        <w:rPr>
          <w:rFonts w:ascii="仿宋_GB2312" w:hAnsi="Arial" w:eastAsia="仿宋_GB2312" w:cs="Arial"/>
          <w:b w:val="0"/>
          <w:bCs w:val="0"/>
          <w:color w:val="000000"/>
          <w:kern w:val="0"/>
          <w:sz w:val="32"/>
          <w:szCs w:val="32"/>
          <w14:ligatures w14:val="none"/>
        </w:rPr>
        <w:t>题研究提供政策指导、专家资源、交流平台，组织开展课题研究培训、中期研讨、成果交流等活动，助力课题团队提升研究水平；</w:t>
      </w:r>
    </w:p>
    <w:p w14:paraId="49D27F7E">
      <w:pPr>
        <w:keepNext w:val="0"/>
        <w:keepLines w:val="0"/>
        <w:pageBreakBefore w:val="0"/>
        <w:widowControl w:val="0"/>
        <w:kinsoku/>
        <w:wordWrap/>
        <w:overflowPunct/>
        <w:topLinePunct w:val="0"/>
        <w:bidi w:val="0"/>
        <w:adjustRightInd w:val="0"/>
        <w:snapToGrid w:val="0"/>
        <w:spacing w:after="0" w:line="560" w:lineRule="exact"/>
        <w:ind w:left="0" w:firstLine="640" w:firstLineChars="200"/>
        <w:rPr>
          <w:rFonts w:ascii="仿宋_GB2312" w:hAnsi="Arial" w:eastAsia="仿宋_GB2312" w:cs="Arial"/>
          <w:b w:val="0"/>
          <w:bCs w:val="0"/>
          <w:color w:val="000000"/>
          <w:kern w:val="0"/>
          <w:sz w:val="32"/>
          <w:szCs w:val="32"/>
          <w14:ligatures w14:val="none"/>
        </w:rPr>
      </w:pPr>
      <w:r>
        <w:rPr>
          <w:rFonts w:hint="eastAsia" w:ascii="仿宋_GB2312" w:hAnsi="Arial" w:eastAsia="仿宋_GB2312" w:cs="Arial"/>
          <w:b w:val="0"/>
          <w:bCs w:val="0"/>
          <w:color w:val="000000"/>
          <w:kern w:val="0"/>
          <w:sz w:val="32"/>
          <w:szCs w:val="32"/>
          <w14:ligatures w14:val="none"/>
        </w:rPr>
        <w:t>3.</w:t>
      </w:r>
      <w:r>
        <w:rPr>
          <w:rFonts w:ascii="仿宋_GB2312" w:hAnsi="Arial" w:eastAsia="仿宋_GB2312" w:cs="Arial"/>
          <w:b w:val="0"/>
          <w:bCs w:val="0"/>
          <w:color w:val="000000"/>
          <w:kern w:val="0"/>
          <w:sz w:val="32"/>
          <w:szCs w:val="32"/>
          <w14:ligatures w14:val="none"/>
        </w:rPr>
        <w:t>课题研究期间，可优先参与规建中</w:t>
      </w:r>
      <w:r>
        <w:rPr>
          <w:rFonts w:ascii="仿宋_GB2312" w:hAnsi="Arial" w:eastAsia="仿宋_GB2312" w:cs="Arial"/>
          <w:b w:val="0"/>
          <w:bCs w:val="0"/>
          <w:color w:val="auto"/>
          <w:kern w:val="0"/>
          <w:sz w:val="32"/>
          <w:szCs w:val="32"/>
          <w14:ligatures w14:val="none"/>
        </w:rPr>
        <w:t>心与</w:t>
      </w:r>
      <w:r>
        <w:rPr>
          <w:rFonts w:hint="eastAsia" w:ascii="仿宋_GB2312" w:hAnsi="Arial" w:eastAsia="仿宋_GB2312" w:cs="Arial"/>
          <w:b w:val="0"/>
          <w:bCs w:val="0"/>
          <w:color w:val="auto"/>
          <w:kern w:val="0"/>
          <w:sz w:val="32"/>
          <w:szCs w:val="32"/>
          <w:lang w:val="en-US" w:eastAsia="zh-CN"/>
          <w14:ligatures w14:val="none"/>
        </w:rPr>
        <w:t>新北清</w:t>
      </w:r>
      <w:r>
        <w:rPr>
          <w:rFonts w:ascii="仿宋_GB2312" w:hAnsi="Arial" w:eastAsia="仿宋_GB2312" w:cs="Arial"/>
          <w:b w:val="0"/>
          <w:bCs w:val="0"/>
          <w:color w:val="000000"/>
          <w:kern w:val="0"/>
          <w:sz w:val="32"/>
          <w:szCs w:val="32"/>
          <w14:ligatures w14:val="none"/>
        </w:rPr>
        <w:t>组织的集成电路产教融合相关会议、论坛、培训等活动，优先纳入集成电路产教融合成果推广计划。</w:t>
      </w:r>
    </w:p>
    <w:p w14:paraId="132ED7CD">
      <w:pPr>
        <w:keepNext w:val="0"/>
        <w:keepLines w:val="0"/>
        <w:pageBreakBefore w:val="0"/>
        <w:widowControl w:val="0"/>
        <w:kinsoku/>
        <w:wordWrap/>
        <w:overflowPunct/>
        <w:topLinePunct w:val="0"/>
        <w:bidi w:val="0"/>
        <w:spacing w:line="560" w:lineRule="exact"/>
        <w:ind w:left="0"/>
        <w:rPr>
          <w:rFonts w:hint="eastAsia"/>
          <w:b w:val="0"/>
          <w:bCs w:val="0"/>
        </w:rPr>
      </w:pPr>
    </w:p>
    <w:sectPr>
      <w:footerReference r:id="rId5" w:type="default"/>
      <w:pgSz w:w="11906" w:h="16838"/>
      <w:pgMar w:top="1440" w:right="1803" w:bottom="1474" w:left="180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eastAsia="宋体" w:cs="宋体"/>
        <w:sz w:val="28"/>
        <w:szCs w:val="28"/>
      </w:rPr>
      <w:id w:val="1313136880"/>
      <w:docPartObj>
        <w:docPartGallery w:val="autotext"/>
      </w:docPartObj>
    </w:sdtPr>
    <w:sdtEndPr>
      <w:rPr>
        <w:rFonts w:hint="eastAsia" w:ascii="Times New Roman" w:hAnsi="Times New Roman" w:eastAsia="宋体" w:cs="Times New Roman"/>
        <w:sz w:val="21"/>
        <w:szCs w:val="21"/>
      </w:rPr>
    </w:sdtEndPr>
    <w:sdtContent>
      <w:p w14:paraId="71581BD8">
        <w:pPr>
          <w:pStyle w:val="12"/>
          <w:jc w:val="center"/>
          <w:rPr>
            <w:rFonts w:ascii="Times New Roman" w:hAnsi="Times New Roman" w:cs="Times New Roman"/>
            <w:sz w:val="21"/>
            <w:szCs w:val="21"/>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2</w:t>
        </w:r>
        <w:r>
          <w:rPr>
            <w:rFonts w:hint="eastAsia" w:ascii="宋体" w:hAnsi="宋体" w:eastAsia="宋体" w:cs="宋体"/>
            <w:sz w:val="28"/>
            <w:szCs w:val="28"/>
          </w:rPr>
          <w:fldChar w:fldCharType="end"/>
        </w:r>
      </w:p>
    </w:sdtContent>
  </w:sdt>
  <w:p w14:paraId="1DB4C798">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E3"/>
    <w:rsid w:val="000273CC"/>
    <w:rsid w:val="001607D3"/>
    <w:rsid w:val="00197CE3"/>
    <w:rsid w:val="001D7995"/>
    <w:rsid w:val="002361CE"/>
    <w:rsid w:val="002D2E41"/>
    <w:rsid w:val="003F3116"/>
    <w:rsid w:val="004F6005"/>
    <w:rsid w:val="0057668E"/>
    <w:rsid w:val="009B02E9"/>
    <w:rsid w:val="00D051B8"/>
    <w:rsid w:val="00DA604A"/>
    <w:rsid w:val="16055BA5"/>
    <w:rsid w:val="167B71DB"/>
    <w:rsid w:val="1BB57804"/>
    <w:rsid w:val="1EAD1969"/>
    <w:rsid w:val="2F1D7B59"/>
    <w:rsid w:val="35BD6F4B"/>
    <w:rsid w:val="45B147A1"/>
    <w:rsid w:val="4C210418"/>
    <w:rsid w:val="4CFD207A"/>
    <w:rsid w:val="4FAF2D55"/>
    <w:rsid w:val="54EB3100"/>
    <w:rsid w:val="64760C38"/>
    <w:rsid w:val="664B39FF"/>
    <w:rsid w:val="697B3DA1"/>
    <w:rsid w:val="6C7F158F"/>
    <w:rsid w:val="77687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8"/>
    <w:semiHidden/>
    <w:qFormat/>
    <w:uiPriority w:val="0"/>
    <w:pPr>
      <w:widowControl/>
      <w:kinsoku w:val="0"/>
      <w:autoSpaceDE w:val="0"/>
      <w:autoSpaceDN w:val="0"/>
      <w:adjustRightInd w:val="0"/>
      <w:snapToGrid w:val="0"/>
      <w:spacing w:after="0" w:line="240" w:lineRule="auto"/>
      <w:textAlignment w:val="baseline"/>
    </w:pPr>
    <w:rPr>
      <w:rFonts w:ascii="仿宋" w:hAnsi="仿宋" w:eastAsia="仿宋" w:cs="仿宋"/>
      <w:snapToGrid w:val="0"/>
      <w:color w:val="000000"/>
      <w:kern w:val="0"/>
      <w:sz w:val="31"/>
      <w:szCs w:val="31"/>
      <w:lang w:eastAsia="en-US"/>
      <w14:ligatures w14:val="none"/>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character" w:customStyle="1" w:styleId="38">
    <w:name w:val="正文文本 字符"/>
    <w:basedOn w:val="17"/>
    <w:link w:val="11"/>
    <w:semiHidden/>
    <w:qFormat/>
    <w:uiPriority w:val="0"/>
    <w:rPr>
      <w:rFonts w:ascii="仿宋" w:hAnsi="仿宋" w:eastAsia="仿宋" w:cs="仿宋"/>
      <w:snapToGrid w:val="0"/>
      <w:color w:val="000000"/>
      <w:kern w:val="0"/>
      <w:sz w:val="31"/>
      <w:szCs w:val="31"/>
      <w:lang w:eastAsia="en-US"/>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OURS</Company>
  <Pages>13</Pages>
  <Words>6121</Words>
  <Characters>6248</Characters>
  <Lines>50</Lines>
  <Paragraphs>14</Paragraphs>
  <TotalTime>118</TotalTime>
  <ScaleCrop>false</ScaleCrop>
  <LinksUpToDate>false</LinksUpToDate>
  <CharactersWithSpaces>6255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2026-02-28T10:35:00Z</dcterms:created>
  <dc:creator>Tangle Xu</dc:creator>
  <cp:lastModifiedBy>广平君</cp:lastModifiedBy>
  <cp:lastPrinted>2026-06-04T01:28:53Z</cp:lastPrinted>
  <dcterms:modified xsi:type="dcterms:W3CDTF">2026-06-04T02:58:33Z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eyJoZGlkIjoiMzg3MTdmZWE5ZWQ0MjQ1NGIzZWM5MmY0NjlkN2JlMjYiLCJ1c2VySWQiOiI0NjU3MzE5NjQifQ==</vt:lpwstr>
  </property>
  <property fmtid="{D5CDD505-2E9C-101B-9397-08002B2CF9AE}" pid="3" name="KSOProductBuildVer">
    <vt:lpwstr>2052-12.1.0.26375</vt:lpwstr>
  </property>
  <property fmtid="{D5CDD505-2E9C-101B-9397-08002B2CF9AE}" pid="4" name="ICV">
    <vt:lpwstr>C1D1DD96EC8A42D7BA0A143284EC4197_13</vt:lpwstr>
  </property>
</Properties>
</file>